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D2" w:rsidRDefault="00054C47" w:rsidP="00EE2C6E">
      <w:pPr>
        <w:pStyle w:val="Heading2"/>
      </w:pPr>
      <w:r w:rsidRPr="00A40872">
        <w:rPr>
          <w:noProof/>
        </w:rPr>
        <w:drawing>
          <wp:inline distT="0" distB="0" distL="0" distR="0">
            <wp:extent cx="1856393" cy="6096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6393" cy="609653"/>
                    </a:xfrm>
                    <a:prstGeom prst="rect">
                      <a:avLst/>
                    </a:prstGeom>
                  </pic:spPr>
                </pic:pic>
              </a:graphicData>
            </a:graphic>
          </wp:inline>
        </w:drawing>
      </w:r>
    </w:p>
    <w:p w:rsidR="00970CEF" w:rsidRDefault="00B2615F" w:rsidP="00970CEF">
      <w:pPr>
        <w:rPr>
          <w:rStyle w:val="Heading1Char"/>
        </w:rPr>
      </w:pPr>
      <w:r>
        <w:rPr>
          <w:rStyle w:val="Heading1Char"/>
        </w:rPr>
        <w:t xml:space="preserve">2014-2015 </w:t>
      </w:r>
      <w:r w:rsidR="00970CEF" w:rsidRPr="00970CEF">
        <w:rPr>
          <w:rStyle w:val="Heading1Char"/>
        </w:rPr>
        <w:t>World’s Best Workforce Report Summary</w:t>
      </w:r>
      <w:r w:rsidR="00666C24">
        <w:rPr>
          <w:rStyle w:val="Heading1Char"/>
        </w:rPr>
        <w:t xml:space="preserve"> </w:t>
      </w:r>
    </w:p>
    <w:p w:rsidR="00666C24" w:rsidRPr="00C30032" w:rsidRDefault="00666C24" w:rsidP="00C30032">
      <w:pPr>
        <w:pStyle w:val="List"/>
        <w:tabs>
          <w:tab w:val="left" w:pos="9900"/>
        </w:tabs>
        <w:spacing w:after="120"/>
        <w:rPr>
          <w:rStyle w:val="Heading1Char"/>
          <w:b w:val="0"/>
          <w:sz w:val="22"/>
          <w:szCs w:val="22"/>
          <w:u w:val="single"/>
        </w:rPr>
      </w:pPr>
      <w:r w:rsidRPr="00CF08AF">
        <w:rPr>
          <w:rStyle w:val="Heading1Char"/>
          <w:b w:val="0"/>
          <w:sz w:val="22"/>
          <w:szCs w:val="22"/>
        </w:rPr>
        <w:t>District or Charter Name</w:t>
      </w:r>
      <w:r w:rsidR="00BE0DEA" w:rsidRPr="00CF08AF">
        <w:rPr>
          <w:rStyle w:val="Heading1Char"/>
          <w:b w:val="0"/>
          <w:sz w:val="22"/>
          <w:szCs w:val="22"/>
        </w:rPr>
        <w:t xml:space="preserve"> </w:t>
      </w:r>
      <w:r w:rsidR="00363598">
        <w:rPr>
          <w:rStyle w:val="Heading1Char"/>
          <w:b w:val="0"/>
          <w:sz w:val="22"/>
          <w:szCs w:val="22"/>
          <w:u w:val="single"/>
        </w:rPr>
        <w:t>BlueSky Online Charter School (4082-07)</w:t>
      </w:r>
      <w:r w:rsidR="00C30032">
        <w:rPr>
          <w:rStyle w:val="Heading1Char"/>
          <w:b w:val="0"/>
          <w:sz w:val="22"/>
          <w:szCs w:val="22"/>
          <w:u w:val="single"/>
        </w:rPr>
        <w:tab/>
      </w:r>
    </w:p>
    <w:p w:rsidR="00666C24" w:rsidRPr="00C30032" w:rsidRDefault="00666C24" w:rsidP="00C30032">
      <w:pPr>
        <w:pStyle w:val="List"/>
        <w:tabs>
          <w:tab w:val="left" w:pos="9900"/>
        </w:tabs>
        <w:spacing w:after="120"/>
        <w:rPr>
          <w:rStyle w:val="Heading1Char"/>
          <w:b w:val="0"/>
          <w:sz w:val="22"/>
          <w:szCs w:val="22"/>
          <w:u w:val="single"/>
        </w:rPr>
      </w:pPr>
      <w:r w:rsidRPr="00CF08AF">
        <w:rPr>
          <w:rStyle w:val="Heading1Char"/>
          <w:b w:val="0"/>
          <w:sz w:val="22"/>
          <w:szCs w:val="22"/>
        </w:rPr>
        <w:t xml:space="preserve">Contact Person Name </w:t>
      </w:r>
      <w:r w:rsidR="00BE0DEA" w:rsidRPr="00CF08AF">
        <w:rPr>
          <w:rStyle w:val="Heading1Char"/>
          <w:b w:val="0"/>
          <w:sz w:val="22"/>
          <w:szCs w:val="22"/>
        </w:rPr>
        <w:t xml:space="preserve">and Position </w:t>
      </w:r>
      <w:r w:rsidR="00363598">
        <w:rPr>
          <w:rStyle w:val="Heading1Char"/>
          <w:b w:val="0"/>
          <w:sz w:val="22"/>
          <w:szCs w:val="22"/>
          <w:u w:val="single"/>
        </w:rPr>
        <w:t>Amy Larsen, Executive Director</w:t>
      </w:r>
      <w:r w:rsidR="00C30032">
        <w:rPr>
          <w:rStyle w:val="Heading1Char"/>
          <w:b w:val="0"/>
          <w:sz w:val="22"/>
          <w:szCs w:val="22"/>
          <w:u w:val="single"/>
        </w:rPr>
        <w:tab/>
      </w:r>
    </w:p>
    <w:p w:rsidR="00E30133" w:rsidRDefault="00970CEF" w:rsidP="00C30032">
      <w:pPr>
        <w:pStyle w:val="NoSpacing"/>
        <w:spacing w:before="240"/>
      </w:pPr>
      <w:r>
        <w:t>In accordance with Minnesota Statutes, section 120B.11, a</w:t>
      </w:r>
      <w:r w:rsidRPr="00D175E8">
        <w:t xml:space="preserve"> school board, at a public meeting, shall adopt a comprehensive, long-term strategic plan</w:t>
      </w:r>
      <w:r w:rsidRPr="00B61468">
        <w:t xml:space="preserve"> to support and improve teaching and learning that is aligned with creating th</w:t>
      </w:r>
      <w:r w:rsidR="000A10C7">
        <w:t xml:space="preserve">e world's best workforce. The school board must publish an annual report </w:t>
      </w:r>
      <w:r w:rsidR="00CE0D62">
        <w:t xml:space="preserve">on the previous year’s plan </w:t>
      </w:r>
      <w:r w:rsidR="000A10C7">
        <w:t>and hold an annual public meeting to review goals, outcomes and strategies. An</w:t>
      </w:r>
      <w:r>
        <w:t xml:space="preserve"> electronic </w:t>
      </w:r>
      <w:r w:rsidRPr="00556E29">
        <w:rPr>
          <w:i/>
        </w:rPr>
        <w:t>summary</w:t>
      </w:r>
      <w:r>
        <w:t xml:space="preserve"> of </w:t>
      </w:r>
      <w:r w:rsidR="000A10C7">
        <w:t>the</w:t>
      </w:r>
      <w:r>
        <w:t xml:space="preserve"> </w:t>
      </w:r>
      <w:r w:rsidR="00556E29">
        <w:t xml:space="preserve">annual </w:t>
      </w:r>
      <w:r w:rsidRPr="00556E29">
        <w:t xml:space="preserve">report </w:t>
      </w:r>
      <w:r w:rsidR="000A10C7">
        <w:t xml:space="preserve">must be sent </w:t>
      </w:r>
      <w:r>
        <w:t xml:space="preserve">to the </w:t>
      </w:r>
      <w:r w:rsidR="000A10C7">
        <w:t>Commissioner of</w:t>
      </w:r>
      <w:r>
        <w:t xml:space="preserve"> Education each fall.</w:t>
      </w:r>
    </w:p>
    <w:p w:rsidR="00633737" w:rsidRDefault="00633737" w:rsidP="00BC473E">
      <w:pPr>
        <w:pStyle w:val="NoSpacing"/>
      </w:pPr>
    </w:p>
    <w:p w:rsidR="00BC473E" w:rsidRDefault="00E30133" w:rsidP="00BC473E">
      <w:pPr>
        <w:pStyle w:val="NoSpacing"/>
      </w:pPr>
      <w:r>
        <w:t xml:space="preserve">This document serves as the required template for submission of the 2014-2015 report summary.  Districts must submit this completed template by </w:t>
      </w:r>
      <w:r w:rsidR="00633737" w:rsidRPr="00F701CD">
        <w:rPr>
          <w:b/>
        </w:rPr>
        <w:t>December 1</w:t>
      </w:r>
      <w:r w:rsidRPr="00F701CD">
        <w:rPr>
          <w:b/>
        </w:rPr>
        <w:t>, 2015</w:t>
      </w:r>
      <w:r>
        <w:t xml:space="preserve"> to </w:t>
      </w:r>
      <w:hyperlink r:id="rId9" w:history="1">
        <w:r w:rsidRPr="00DF0210">
          <w:rPr>
            <w:rStyle w:val="Hyperlink"/>
          </w:rPr>
          <w:t>MDE.WorldsBestWorkForce@state.mn.us</w:t>
        </w:r>
      </w:hyperlink>
      <w:r>
        <w:t>.</w:t>
      </w:r>
      <w:r w:rsidR="0017210C">
        <w:t xml:space="preserve"> </w:t>
      </w:r>
    </w:p>
    <w:p w:rsidR="00E26A17" w:rsidRDefault="00E26A17" w:rsidP="00C30032">
      <w:pPr>
        <w:pStyle w:val="List"/>
        <w:spacing w:before="360"/>
        <w:rPr>
          <w:rStyle w:val="Heading2Char"/>
        </w:rPr>
      </w:pPr>
      <w:r>
        <w:rPr>
          <w:rStyle w:val="Heading2Char"/>
        </w:rPr>
        <w:t>Stakeholder Engagement</w:t>
      </w:r>
    </w:p>
    <w:p w:rsidR="00293373" w:rsidRPr="00665BFA" w:rsidRDefault="00293373" w:rsidP="00293373">
      <w:pPr>
        <w:pStyle w:val="NoSpacing"/>
        <w:rPr>
          <w:b/>
        </w:rPr>
      </w:pPr>
      <w:r>
        <w:rPr>
          <w:b/>
        </w:rPr>
        <w:t>Report</w:t>
      </w:r>
    </w:p>
    <w:p w:rsidR="00293373" w:rsidRPr="00363598" w:rsidRDefault="00262473" w:rsidP="00935750">
      <w:pPr>
        <w:pStyle w:val="ListParagraph"/>
      </w:pPr>
      <w:r>
        <w:t xml:space="preserve">The BlueSky Charter School World’s Best Workforce Report and Annual Report on Curriculum, Instruction and Student Achievement can be found on our website: </w:t>
      </w:r>
      <w:hyperlink r:id="rId10" w:history="1">
        <w:r w:rsidR="006531C0" w:rsidRPr="00363598">
          <w:rPr>
            <w:rStyle w:val="Hyperlink"/>
          </w:rPr>
          <w:t>http://www.blueskyschool.org/about-us/bluesky-board/annual-reports/</w:t>
        </w:r>
      </w:hyperlink>
      <w:r w:rsidR="006531C0" w:rsidRPr="00363598">
        <w:t xml:space="preserve"> </w:t>
      </w:r>
    </w:p>
    <w:p w:rsidR="008E7D7B" w:rsidRPr="00E26A17" w:rsidRDefault="008E7D7B" w:rsidP="008E7D7B">
      <w:pPr>
        <w:pStyle w:val="List"/>
        <w:rPr>
          <w:rStyle w:val="Heading2Char"/>
          <w:sz w:val="22"/>
          <w:szCs w:val="22"/>
        </w:rPr>
      </w:pPr>
      <w:r w:rsidRPr="00E26A17">
        <w:rPr>
          <w:rStyle w:val="Heading2Char"/>
          <w:sz w:val="22"/>
          <w:szCs w:val="22"/>
        </w:rPr>
        <w:t>Annual Public Meeting</w:t>
      </w:r>
    </w:p>
    <w:p w:rsidR="006531C0" w:rsidRPr="0058076D" w:rsidRDefault="00262473" w:rsidP="0058076D">
      <w:pPr>
        <w:pStyle w:val="ListParagraph"/>
        <w:rPr>
          <w:i/>
        </w:rPr>
      </w:pPr>
      <w:r>
        <w:t xml:space="preserve">BlueSky Charter School’s annual strategic plan review meeting occurred on </w:t>
      </w:r>
      <w:r w:rsidR="006531C0" w:rsidRPr="00363598">
        <w:t>July 29, 201</w:t>
      </w:r>
      <w:r>
        <w:t xml:space="preserve">5. </w:t>
      </w:r>
      <w:r w:rsidR="0058076D">
        <w:t xml:space="preserve">The </w:t>
      </w:r>
      <w:hyperlink r:id="rId11" w:history="1">
        <w:r w:rsidR="0058076D">
          <w:rPr>
            <w:rStyle w:val="Hyperlink"/>
          </w:rPr>
          <w:t>a</w:t>
        </w:r>
        <w:r w:rsidR="0058076D" w:rsidRPr="00363598">
          <w:rPr>
            <w:rStyle w:val="Hyperlink"/>
          </w:rPr>
          <w:t>genda</w:t>
        </w:r>
      </w:hyperlink>
      <w:r w:rsidR="0058076D" w:rsidRPr="00363598">
        <w:t xml:space="preserve"> for </w:t>
      </w:r>
      <w:r w:rsidR="0058076D">
        <w:t xml:space="preserve">the </w:t>
      </w:r>
      <w:r w:rsidR="0058076D" w:rsidRPr="00363598">
        <w:t>Annual Strategic Plan Review Meeting</w:t>
      </w:r>
      <w:r w:rsidR="0058076D">
        <w:t xml:space="preserve"> can be found on our website.</w:t>
      </w:r>
    </w:p>
    <w:p w:rsidR="008E7D7B" w:rsidRDefault="008E7D7B" w:rsidP="00BC473E">
      <w:pPr>
        <w:pStyle w:val="NoSpacing"/>
        <w:rPr>
          <w:b/>
        </w:rPr>
      </w:pPr>
      <w:r w:rsidRPr="00665BFA">
        <w:rPr>
          <w:b/>
        </w:rPr>
        <w:t>District Advisory Committee</w:t>
      </w:r>
    </w:p>
    <w:p w:rsidR="00D34F12" w:rsidRPr="00665BFA" w:rsidRDefault="00D34F12" w:rsidP="00BC473E">
      <w:pPr>
        <w:pStyle w:val="NoSpacing"/>
        <w:rPr>
          <w:b/>
        </w:rPr>
      </w:pPr>
    </w:p>
    <w:p w:rsidR="00935750" w:rsidRDefault="00257CCB" w:rsidP="00935750">
      <w:pPr>
        <w:pStyle w:val="ListParagraph"/>
      </w:pPr>
      <w:r>
        <w:t>BlueSky Charter School’s District Advisory Committee</w:t>
      </w:r>
      <w:r w:rsidR="009A6769">
        <w:t xml:space="preserve"> and Curriculum Committee</w:t>
      </w:r>
      <w:r>
        <w:t xml:space="preserve"> members for 2014-2015 were as follows. </w:t>
      </w:r>
      <w:r w:rsidR="009A6769">
        <w:t>(</w:t>
      </w:r>
      <w:r>
        <w:t>BlueSky parents have been requested, multiple times, to serve on the committee</w:t>
      </w:r>
      <w:r w:rsidR="009A6769">
        <w:t xml:space="preserve">. Unfortunately, there has been no parent interest to </w:t>
      </w:r>
      <w:r>
        <w:t>participa</w:t>
      </w:r>
      <w:r w:rsidR="009A6769">
        <w:t>te as of yet.)</w:t>
      </w:r>
    </w:p>
    <w:tbl>
      <w:tblPr>
        <w:tblW w:w="0" w:type="auto"/>
        <w:tblInd w:w="765" w:type="dxa"/>
        <w:tblLayout w:type="fixed"/>
        <w:tblCellMar>
          <w:left w:w="0" w:type="dxa"/>
          <w:right w:w="0" w:type="dxa"/>
        </w:tblCellMar>
        <w:tblLook w:val="01E0"/>
      </w:tblPr>
      <w:tblGrid>
        <w:gridCol w:w="2577"/>
        <w:gridCol w:w="3299"/>
        <w:gridCol w:w="1704"/>
      </w:tblGrid>
      <w:tr w:rsidR="009A6769" w:rsidTr="00FD7F50">
        <w:trPr>
          <w:trHeight w:hRule="exact" w:val="297"/>
        </w:trPr>
        <w:tc>
          <w:tcPr>
            <w:tcW w:w="2577" w:type="dxa"/>
            <w:tcBorders>
              <w:top w:val="nil"/>
              <w:left w:val="nil"/>
              <w:bottom w:val="nil"/>
              <w:right w:val="nil"/>
            </w:tcBorders>
          </w:tcPr>
          <w:p w:rsidR="009A6769" w:rsidRDefault="009A6769" w:rsidP="00FD7F50">
            <w:pPr>
              <w:pStyle w:val="TableParagraph"/>
              <w:spacing w:before="27"/>
              <w:ind w:left="55"/>
              <w:rPr>
                <w:rFonts w:ascii="Cambria" w:eastAsia="Cambria" w:hAnsi="Cambria" w:cs="Cambria"/>
              </w:rPr>
            </w:pPr>
            <w:r>
              <w:rPr>
                <w:rFonts w:ascii="Cambria"/>
                <w:spacing w:val="-1"/>
              </w:rPr>
              <w:t>Leah</w:t>
            </w:r>
            <w:r>
              <w:rPr>
                <w:rFonts w:ascii="Cambria"/>
                <w:spacing w:val="1"/>
              </w:rPr>
              <w:t xml:space="preserve"> </w:t>
            </w:r>
            <w:r>
              <w:rPr>
                <w:rFonts w:ascii="Cambria"/>
                <w:spacing w:val="-1"/>
              </w:rPr>
              <w:t>Sickmann</w:t>
            </w:r>
            <w:r>
              <w:rPr>
                <w:rFonts w:ascii="Cambria"/>
                <w:spacing w:val="15"/>
              </w:rPr>
              <w:t xml:space="preserve"> </w:t>
            </w:r>
            <w:r>
              <w:rPr>
                <w:rFonts w:ascii="Cambria"/>
                <w:spacing w:val="-1"/>
              </w:rPr>
              <w:t>(Chair)</w:t>
            </w:r>
          </w:p>
        </w:tc>
        <w:tc>
          <w:tcPr>
            <w:tcW w:w="3299" w:type="dxa"/>
            <w:tcBorders>
              <w:top w:val="nil"/>
              <w:left w:val="nil"/>
              <w:bottom w:val="nil"/>
              <w:right w:val="nil"/>
            </w:tcBorders>
          </w:tcPr>
          <w:p w:rsidR="009A6769" w:rsidRDefault="009A6769" w:rsidP="00FD7F50">
            <w:pPr>
              <w:pStyle w:val="TableParagraph"/>
              <w:spacing w:before="27"/>
              <w:ind w:left="358"/>
              <w:rPr>
                <w:rFonts w:ascii="Cambria" w:eastAsia="Cambria" w:hAnsi="Cambria" w:cs="Cambria"/>
              </w:rPr>
            </w:pPr>
            <w:r>
              <w:rPr>
                <w:rFonts w:ascii="Cambria"/>
                <w:spacing w:val="-1"/>
              </w:rPr>
              <w:t>Teacher/Board</w:t>
            </w:r>
            <w:r>
              <w:rPr>
                <w:rFonts w:ascii="Cambria"/>
              </w:rPr>
              <w:t xml:space="preserve"> </w:t>
            </w:r>
            <w:r>
              <w:rPr>
                <w:rFonts w:ascii="Cambria"/>
                <w:spacing w:val="-1"/>
              </w:rPr>
              <w:t>Member</w:t>
            </w:r>
          </w:p>
        </w:tc>
        <w:tc>
          <w:tcPr>
            <w:tcW w:w="1704" w:type="dxa"/>
            <w:tcBorders>
              <w:top w:val="nil"/>
              <w:left w:val="nil"/>
              <w:bottom w:val="nil"/>
              <w:right w:val="nil"/>
            </w:tcBorders>
          </w:tcPr>
          <w:p w:rsidR="009A6769" w:rsidRDefault="009A6769" w:rsidP="00FD7F50">
            <w:pPr>
              <w:pStyle w:val="TableParagraph"/>
              <w:spacing w:before="27"/>
              <w:ind w:left="660"/>
              <w:rPr>
                <w:rFonts w:ascii="Cambria" w:eastAsia="Cambria" w:hAnsi="Cambria" w:cs="Cambria"/>
              </w:rPr>
            </w:pPr>
            <w:r>
              <w:rPr>
                <w:rFonts w:ascii="Cambria"/>
                <w:spacing w:val="-1"/>
              </w:rPr>
              <w:t>Appointed</w:t>
            </w:r>
          </w:p>
        </w:tc>
      </w:tr>
      <w:tr w:rsidR="009A6769" w:rsidTr="00FD7F50">
        <w:trPr>
          <w:trHeight w:hRule="exact" w:val="258"/>
        </w:trPr>
        <w:tc>
          <w:tcPr>
            <w:tcW w:w="2577" w:type="dxa"/>
            <w:tcBorders>
              <w:top w:val="nil"/>
              <w:left w:val="nil"/>
              <w:bottom w:val="nil"/>
              <w:right w:val="nil"/>
            </w:tcBorders>
          </w:tcPr>
          <w:p w:rsidR="009A6769" w:rsidRDefault="009A6769" w:rsidP="00FD7F50">
            <w:pPr>
              <w:pStyle w:val="TableParagraph"/>
              <w:spacing w:line="247" w:lineRule="exact"/>
              <w:ind w:left="55"/>
              <w:rPr>
                <w:rFonts w:ascii="Cambria" w:eastAsia="Cambria" w:hAnsi="Cambria" w:cs="Cambria"/>
              </w:rPr>
            </w:pPr>
            <w:r>
              <w:rPr>
                <w:rFonts w:ascii="Cambria"/>
              </w:rPr>
              <w:t xml:space="preserve">Daniel </w:t>
            </w:r>
            <w:r>
              <w:rPr>
                <w:rFonts w:ascii="Cambria"/>
                <w:spacing w:val="-2"/>
              </w:rPr>
              <w:t>Ondich</w:t>
            </w:r>
          </w:p>
        </w:tc>
        <w:tc>
          <w:tcPr>
            <w:tcW w:w="3299" w:type="dxa"/>
            <w:tcBorders>
              <w:top w:val="nil"/>
              <w:left w:val="nil"/>
              <w:bottom w:val="nil"/>
              <w:right w:val="nil"/>
            </w:tcBorders>
          </w:tcPr>
          <w:p w:rsidR="009A6769" w:rsidRDefault="009A6769" w:rsidP="00FD7F50">
            <w:pPr>
              <w:pStyle w:val="TableParagraph"/>
              <w:spacing w:line="247" w:lineRule="exact"/>
              <w:ind w:left="358"/>
              <w:rPr>
                <w:rFonts w:ascii="Cambria" w:eastAsia="Cambria" w:hAnsi="Cambria" w:cs="Cambria"/>
              </w:rPr>
            </w:pPr>
            <w:r>
              <w:rPr>
                <w:rFonts w:ascii="Cambria"/>
                <w:spacing w:val="-1"/>
              </w:rPr>
              <w:t>Administration</w:t>
            </w:r>
          </w:p>
        </w:tc>
        <w:tc>
          <w:tcPr>
            <w:tcW w:w="1704" w:type="dxa"/>
            <w:tcBorders>
              <w:top w:val="nil"/>
              <w:left w:val="nil"/>
              <w:bottom w:val="nil"/>
              <w:right w:val="nil"/>
            </w:tcBorders>
          </w:tcPr>
          <w:p w:rsidR="009A6769" w:rsidRDefault="009A6769" w:rsidP="00FD7F50">
            <w:pPr>
              <w:pStyle w:val="TableParagraph"/>
              <w:spacing w:line="247" w:lineRule="exact"/>
              <w:ind w:left="660"/>
              <w:rPr>
                <w:rFonts w:ascii="Cambria" w:eastAsia="Cambria" w:hAnsi="Cambria" w:cs="Cambria"/>
              </w:rPr>
            </w:pPr>
            <w:r>
              <w:rPr>
                <w:rFonts w:ascii="Cambria"/>
                <w:spacing w:val="-1"/>
              </w:rPr>
              <w:t>Appointed</w:t>
            </w:r>
          </w:p>
        </w:tc>
      </w:tr>
      <w:tr w:rsidR="009A6769" w:rsidTr="00FD7F50">
        <w:trPr>
          <w:trHeight w:hRule="exact" w:val="258"/>
        </w:trPr>
        <w:tc>
          <w:tcPr>
            <w:tcW w:w="2577" w:type="dxa"/>
            <w:tcBorders>
              <w:top w:val="nil"/>
              <w:left w:val="nil"/>
              <w:bottom w:val="nil"/>
              <w:right w:val="nil"/>
            </w:tcBorders>
          </w:tcPr>
          <w:p w:rsidR="009A6769" w:rsidRDefault="009A6769" w:rsidP="00FD7F50">
            <w:pPr>
              <w:pStyle w:val="TableParagraph"/>
              <w:spacing w:line="246" w:lineRule="exact"/>
              <w:ind w:left="55"/>
              <w:rPr>
                <w:rFonts w:ascii="Cambria" w:eastAsia="Cambria" w:hAnsi="Cambria" w:cs="Cambria"/>
              </w:rPr>
            </w:pPr>
            <w:r>
              <w:rPr>
                <w:rFonts w:ascii="Cambria"/>
                <w:spacing w:val="-1"/>
              </w:rPr>
              <w:t>Amy Larsen</w:t>
            </w:r>
          </w:p>
        </w:tc>
        <w:tc>
          <w:tcPr>
            <w:tcW w:w="3299" w:type="dxa"/>
            <w:tcBorders>
              <w:top w:val="nil"/>
              <w:left w:val="nil"/>
              <w:bottom w:val="nil"/>
              <w:right w:val="nil"/>
            </w:tcBorders>
          </w:tcPr>
          <w:p w:rsidR="009A6769" w:rsidRDefault="009A6769" w:rsidP="00FD7F50">
            <w:pPr>
              <w:pStyle w:val="TableParagraph"/>
              <w:spacing w:line="246" w:lineRule="exact"/>
              <w:ind w:left="358"/>
              <w:rPr>
                <w:rFonts w:ascii="Cambria" w:eastAsia="Cambria" w:hAnsi="Cambria" w:cs="Cambria"/>
              </w:rPr>
            </w:pPr>
            <w:r>
              <w:rPr>
                <w:rFonts w:ascii="Cambria"/>
                <w:spacing w:val="-1"/>
              </w:rPr>
              <w:t>Administration</w:t>
            </w:r>
          </w:p>
        </w:tc>
        <w:tc>
          <w:tcPr>
            <w:tcW w:w="1704" w:type="dxa"/>
            <w:tcBorders>
              <w:top w:val="nil"/>
              <w:left w:val="nil"/>
              <w:bottom w:val="nil"/>
              <w:right w:val="nil"/>
            </w:tcBorders>
          </w:tcPr>
          <w:p w:rsidR="009A6769" w:rsidRDefault="009A6769" w:rsidP="00FD7F50">
            <w:pPr>
              <w:pStyle w:val="TableParagraph"/>
              <w:spacing w:line="246" w:lineRule="exact"/>
              <w:ind w:left="660"/>
              <w:rPr>
                <w:rFonts w:ascii="Cambria" w:eastAsia="Cambria" w:hAnsi="Cambria" w:cs="Cambria"/>
              </w:rPr>
            </w:pPr>
            <w:r>
              <w:rPr>
                <w:rFonts w:ascii="Cambria"/>
                <w:spacing w:val="-1"/>
              </w:rPr>
              <w:t>Appointed</w:t>
            </w:r>
          </w:p>
        </w:tc>
      </w:tr>
      <w:tr w:rsidR="009A6769" w:rsidTr="00FD7F50">
        <w:trPr>
          <w:trHeight w:hRule="exact" w:val="258"/>
        </w:trPr>
        <w:tc>
          <w:tcPr>
            <w:tcW w:w="2577" w:type="dxa"/>
            <w:tcBorders>
              <w:top w:val="nil"/>
              <w:left w:val="nil"/>
              <w:bottom w:val="nil"/>
              <w:right w:val="nil"/>
            </w:tcBorders>
          </w:tcPr>
          <w:p w:rsidR="009A6769" w:rsidRDefault="009A6769" w:rsidP="00FD7F50">
            <w:pPr>
              <w:pStyle w:val="TableParagraph"/>
              <w:spacing w:line="247" w:lineRule="exact"/>
              <w:ind w:left="55"/>
              <w:rPr>
                <w:rFonts w:ascii="Cambria" w:eastAsia="Cambria" w:hAnsi="Cambria" w:cs="Cambria"/>
              </w:rPr>
            </w:pPr>
            <w:r>
              <w:rPr>
                <w:rFonts w:ascii="Cambria" w:eastAsia="Cambria" w:hAnsi="Cambria" w:cs="Cambria"/>
                <w:spacing w:val="-1"/>
              </w:rPr>
              <w:t>Renee’ Parcheta</w:t>
            </w:r>
          </w:p>
        </w:tc>
        <w:tc>
          <w:tcPr>
            <w:tcW w:w="3299" w:type="dxa"/>
            <w:tcBorders>
              <w:top w:val="nil"/>
              <w:left w:val="nil"/>
              <w:bottom w:val="nil"/>
              <w:right w:val="nil"/>
            </w:tcBorders>
          </w:tcPr>
          <w:p w:rsidR="009A6769" w:rsidRDefault="009A6769" w:rsidP="00FD7F50">
            <w:pPr>
              <w:pStyle w:val="TableParagraph"/>
              <w:spacing w:line="247" w:lineRule="exact"/>
              <w:ind w:left="358"/>
              <w:rPr>
                <w:rFonts w:ascii="Cambria" w:eastAsia="Cambria" w:hAnsi="Cambria" w:cs="Cambria"/>
              </w:rPr>
            </w:pPr>
            <w:r>
              <w:rPr>
                <w:rFonts w:ascii="Cambria"/>
                <w:spacing w:val="-1"/>
              </w:rPr>
              <w:t>Administration</w:t>
            </w:r>
          </w:p>
        </w:tc>
        <w:tc>
          <w:tcPr>
            <w:tcW w:w="1704" w:type="dxa"/>
            <w:tcBorders>
              <w:top w:val="nil"/>
              <w:left w:val="nil"/>
              <w:bottom w:val="nil"/>
              <w:right w:val="nil"/>
            </w:tcBorders>
          </w:tcPr>
          <w:p w:rsidR="009A6769" w:rsidRDefault="009A6769" w:rsidP="00FD7F50">
            <w:pPr>
              <w:pStyle w:val="TableParagraph"/>
              <w:spacing w:line="247" w:lineRule="exact"/>
              <w:ind w:left="660"/>
              <w:rPr>
                <w:rFonts w:ascii="Cambria" w:eastAsia="Cambria" w:hAnsi="Cambria" w:cs="Cambria"/>
              </w:rPr>
            </w:pPr>
            <w:r>
              <w:rPr>
                <w:rFonts w:ascii="Cambria"/>
                <w:spacing w:val="-1"/>
              </w:rPr>
              <w:t>Appointed</w:t>
            </w:r>
          </w:p>
        </w:tc>
      </w:tr>
      <w:tr w:rsidR="009A6769" w:rsidTr="00FD7F50">
        <w:trPr>
          <w:trHeight w:hRule="exact" w:val="258"/>
        </w:trPr>
        <w:tc>
          <w:tcPr>
            <w:tcW w:w="2577" w:type="dxa"/>
            <w:tcBorders>
              <w:top w:val="nil"/>
              <w:left w:val="nil"/>
              <w:bottom w:val="nil"/>
              <w:right w:val="nil"/>
            </w:tcBorders>
          </w:tcPr>
          <w:p w:rsidR="009A6769" w:rsidRDefault="009A6769" w:rsidP="00FD7F50">
            <w:pPr>
              <w:pStyle w:val="TableParagraph"/>
              <w:spacing w:line="246" w:lineRule="exact"/>
              <w:ind w:left="55"/>
              <w:rPr>
                <w:rFonts w:ascii="Cambria" w:eastAsia="Cambria" w:hAnsi="Cambria" w:cs="Cambria"/>
              </w:rPr>
            </w:pPr>
            <w:r>
              <w:rPr>
                <w:rFonts w:ascii="Cambria"/>
              </w:rPr>
              <w:t>Heather</w:t>
            </w:r>
            <w:r>
              <w:rPr>
                <w:rFonts w:ascii="Cambria"/>
                <w:spacing w:val="-4"/>
              </w:rPr>
              <w:t xml:space="preserve"> </w:t>
            </w:r>
            <w:r>
              <w:rPr>
                <w:rFonts w:ascii="Cambria"/>
              </w:rPr>
              <w:t>Novak</w:t>
            </w:r>
          </w:p>
        </w:tc>
        <w:tc>
          <w:tcPr>
            <w:tcW w:w="3299" w:type="dxa"/>
            <w:tcBorders>
              <w:top w:val="nil"/>
              <w:left w:val="nil"/>
              <w:bottom w:val="nil"/>
              <w:right w:val="nil"/>
            </w:tcBorders>
          </w:tcPr>
          <w:p w:rsidR="009A6769" w:rsidRDefault="009A6769" w:rsidP="00FD7F50">
            <w:pPr>
              <w:pStyle w:val="TableParagraph"/>
              <w:spacing w:line="246" w:lineRule="exact"/>
              <w:ind w:left="358"/>
              <w:rPr>
                <w:rFonts w:ascii="Cambria" w:eastAsia="Cambria" w:hAnsi="Cambria" w:cs="Cambria"/>
              </w:rPr>
            </w:pPr>
            <w:r>
              <w:rPr>
                <w:rFonts w:ascii="Cambria"/>
                <w:spacing w:val="-1"/>
              </w:rPr>
              <w:t>Teacher</w:t>
            </w:r>
          </w:p>
        </w:tc>
        <w:tc>
          <w:tcPr>
            <w:tcW w:w="1704" w:type="dxa"/>
            <w:tcBorders>
              <w:top w:val="nil"/>
              <w:left w:val="nil"/>
              <w:bottom w:val="nil"/>
              <w:right w:val="nil"/>
            </w:tcBorders>
          </w:tcPr>
          <w:p w:rsidR="009A6769" w:rsidRDefault="009A6769" w:rsidP="00FD7F50">
            <w:pPr>
              <w:pStyle w:val="TableParagraph"/>
              <w:spacing w:line="246" w:lineRule="exact"/>
              <w:ind w:left="660"/>
              <w:rPr>
                <w:rFonts w:ascii="Cambria" w:eastAsia="Cambria" w:hAnsi="Cambria" w:cs="Cambria"/>
              </w:rPr>
            </w:pPr>
            <w:r>
              <w:rPr>
                <w:rFonts w:ascii="Cambria"/>
                <w:spacing w:val="-1"/>
              </w:rPr>
              <w:t>Appointed</w:t>
            </w:r>
          </w:p>
        </w:tc>
      </w:tr>
      <w:tr w:rsidR="009A6769" w:rsidTr="00FD7F50">
        <w:trPr>
          <w:trHeight w:hRule="exact" w:val="258"/>
        </w:trPr>
        <w:tc>
          <w:tcPr>
            <w:tcW w:w="2577" w:type="dxa"/>
            <w:tcBorders>
              <w:top w:val="nil"/>
              <w:left w:val="nil"/>
              <w:bottom w:val="nil"/>
              <w:right w:val="nil"/>
            </w:tcBorders>
          </w:tcPr>
          <w:p w:rsidR="009A6769" w:rsidRDefault="009A6769" w:rsidP="00FD7F50">
            <w:pPr>
              <w:pStyle w:val="TableParagraph"/>
              <w:spacing w:line="247" w:lineRule="exact"/>
              <w:ind w:left="55"/>
              <w:rPr>
                <w:rFonts w:ascii="Cambria" w:eastAsia="Cambria" w:hAnsi="Cambria" w:cs="Cambria"/>
              </w:rPr>
            </w:pPr>
            <w:r>
              <w:rPr>
                <w:rFonts w:ascii="Cambria"/>
                <w:spacing w:val="-1"/>
              </w:rPr>
              <w:t>James</w:t>
            </w:r>
            <w:r>
              <w:rPr>
                <w:rFonts w:ascii="Cambria"/>
                <w:spacing w:val="1"/>
              </w:rPr>
              <w:t xml:space="preserve"> </w:t>
            </w:r>
            <w:r>
              <w:rPr>
                <w:rFonts w:ascii="Cambria"/>
                <w:spacing w:val="-1"/>
              </w:rPr>
              <w:t>Weiberg</w:t>
            </w:r>
          </w:p>
        </w:tc>
        <w:tc>
          <w:tcPr>
            <w:tcW w:w="3299" w:type="dxa"/>
            <w:tcBorders>
              <w:top w:val="nil"/>
              <w:left w:val="nil"/>
              <w:bottom w:val="nil"/>
              <w:right w:val="nil"/>
            </w:tcBorders>
          </w:tcPr>
          <w:p w:rsidR="009A6769" w:rsidRDefault="009A6769" w:rsidP="00FD7F50">
            <w:pPr>
              <w:pStyle w:val="TableParagraph"/>
              <w:spacing w:line="247" w:lineRule="exact"/>
              <w:ind w:left="358"/>
              <w:rPr>
                <w:rFonts w:ascii="Cambria" w:eastAsia="Cambria" w:hAnsi="Cambria" w:cs="Cambria"/>
              </w:rPr>
            </w:pPr>
            <w:r>
              <w:rPr>
                <w:rFonts w:ascii="Cambria"/>
                <w:spacing w:val="-1"/>
              </w:rPr>
              <w:t>Teacher</w:t>
            </w:r>
          </w:p>
        </w:tc>
        <w:tc>
          <w:tcPr>
            <w:tcW w:w="1704" w:type="dxa"/>
            <w:tcBorders>
              <w:top w:val="nil"/>
              <w:left w:val="nil"/>
              <w:bottom w:val="nil"/>
              <w:right w:val="nil"/>
            </w:tcBorders>
          </w:tcPr>
          <w:p w:rsidR="009A6769" w:rsidRDefault="009A6769" w:rsidP="00FD7F50">
            <w:pPr>
              <w:pStyle w:val="TableParagraph"/>
              <w:spacing w:line="247" w:lineRule="exact"/>
              <w:ind w:left="660"/>
              <w:rPr>
                <w:rFonts w:ascii="Cambria" w:eastAsia="Cambria" w:hAnsi="Cambria" w:cs="Cambria"/>
              </w:rPr>
            </w:pPr>
            <w:r>
              <w:rPr>
                <w:rFonts w:ascii="Cambria"/>
                <w:spacing w:val="-1"/>
              </w:rPr>
              <w:t>Appointed</w:t>
            </w:r>
          </w:p>
        </w:tc>
      </w:tr>
      <w:tr w:rsidR="009A6769" w:rsidTr="00FD7F50">
        <w:trPr>
          <w:trHeight w:hRule="exact" w:val="258"/>
        </w:trPr>
        <w:tc>
          <w:tcPr>
            <w:tcW w:w="2577" w:type="dxa"/>
            <w:tcBorders>
              <w:top w:val="nil"/>
              <w:left w:val="nil"/>
              <w:bottom w:val="nil"/>
              <w:right w:val="nil"/>
            </w:tcBorders>
          </w:tcPr>
          <w:p w:rsidR="009A6769" w:rsidRDefault="009A6769" w:rsidP="00FD7F50">
            <w:pPr>
              <w:pStyle w:val="TableParagraph"/>
              <w:spacing w:line="246" w:lineRule="exact"/>
              <w:ind w:left="55"/>
              <w:rPr>
                <w:rFonts w:ascii="Cambria" w:eastAsia="Cambria" w:hAnsi="Cambria" w:cs="Cambria"/>
              </w:rPr>
            </w:pPr>
            <w:r>
              <w:rPr>
                <w:rFonts w:ascii="Cambria"/>
                <w:spacing w:val="-1"/>
              </w:rPr>
              <w:t>Barbara</w:t>
            </w:r>
            <w:r>
              <w:rPr>
                <w:rFonts w:ascii="Cambria"/>
              </w:rPr>
              <w:t xml:space="preserve"> </w:t>
            </w:r>
            <w:r>
              <w:rPr>
                <w:rFonts w:ascii="Cambria"/>
                <w:spacing w:val="-1"/>
              </w:rPr>
              <w:t>DeGrote</w:t>
            </w:r>
          </w:p>
        </w:tc>
        <w:tc>
          <w:tcPr>
            <w:tcW w:w="3299" w:type="dxa"/>
            <w:tcBorders>
              <w:top w:val="nil"/>
              <w:left w:val="nil"/>
              <w:bottom w:val="nil"/>
              <w:right w:val="nil"/>
            </w:tcBorders>
          </w:tcPr>
          <w:p w:rsidR="009A6769" w:rsidRDefault="009A6769" w:rsidP="00FD7F50">
            <w:pPr>
              <w:pStyle w:val="TableParagraph"/>
              <w:spacing w:line="246" w:lineRule="exact"/>
              <w:ind w:left="358"/>
              <w:rPr>
                <w:rFonts w:ascii="Cambria" w:eastAsia="Cambria" w:hAnsi="Cambria" w:cs="Cambria"/>
              </w:rPr>
            </w:pPr>
            <w:r>
              <w:rPr>
                <w:rFonts w:ascii="Cambria"/>
                <w:spacing w:val="-1"/>
              </w:rPr>
              <w:t>Teacher</w:t>
            </w:r>
          </w:p>
        </w:tc>
        <w:tc>
          <w:tcPr>
            <w:tcW w:w="1704" w:type="dxa"/>
            <w:tcBorders>
              <w:top w:val="nil"/>
              <w:left w:val="nil"/>
              <w:bottom w:val="nil"/>
              <w:right w:val="nil"/>
            </w:tcBorders>
          </w:tcPr>
          <w:p w:rsidR="009A6769" w:rsidRDefault="009A6769" w:rsidP="00FD7F50">
            <w:pPr>
              <w:pStyle w:val="TableParagraph"/>
              <w:spacing w:line="246" w:lineRule="exact"/>
              <w:ind w:left="660"/>
              <w:rPr>
                <w:rFonts w:ascii="Cambria" w:eastAsia="Cambria" w:hAnsi="Cambria" w:cs="Cambria"/>
              </w:rPr>
            </w:pPr>
            <w:r>
              <w:rPr>
                <w:rFonts w:ascii="Cambria"/>
                <w:spacing w:val="-1"/>
              </w:rPr>
              <w:t>Appointed</w:t>
            </w:r>
          </w:p>
        </w:tc>
      </w:tr>
      <w:tr w:rsidR="009A6769" w:rsidTr="00FD7F50">
        <w:trPr>
          <w:trHeight w:hRule="exact" w:val="258"/>
        </w:trPr>
        <w:tc>
          <w:tcPr>
            <w:tcW w:w="2577" w:type="dxa"/>
            <w:tcBorders>
              <w:top w:val="nil"/>
              <w:left w:val="nil"/>
              <w:bottom w:val="nil"/>
              <w:right w:val="nil"/>
            </w:tcBorders>
          </w:tcPr>
          <w:p w:rsidR="009A6769" w:rsidRDefault="009A6769" w:rsidP="00FD7F50">
            <w:pPr>
              <w:pStyle w:val="TableParagraph"/>
              <w:spacing w:line="247" w:lineRule="exact"/>
              <w:ind w:left="55"/>
              <w:rPr>
                <w:rFonts w:ascii="Cambria" w:eastAsia="Cambria" w:hAnsi="Cambria" w:cs="Cambria"/>
              </w:rPr>
            </w:pPr>
            <w:r>
              <w:rPr>
                <w:rFonts w:ascii="Cambria"/>
                <w:spacing w:val="-1"/>
              </w:rPr>
              <w:t>Nicole</w:t>
            </w:r>
            <w:r>
              <w:rPr>
                <w:rFonts w:ascii="Cambria"/>
              </w:rPr>
              <w:t xml:space="preserve"> </w:t>
            </w:r>
            <w:r>
              <w:rPr>
                <w:rFonts w:ascii="Cambria"/>
                <w:spacing w:val="-1"/>
              </w:rPr>
              <w:t>Petersen</w:t>
            </w:r>
          </w:p>
        </w:tc>
        <w:tc>
          <w:tcPr>
            <w:tcW w:w="3299" w:type="dxa"/>
            <w:tcBorders>
              <w:top w:val="nil"/>
              <w:left w:val="nil"/>
              <w:bottom w:val="nil"/>
              <w:right w:val="nil"/>
            </w:tcBorders>
          </w:tcPr>
          <w:p w:rsidR="009A6769" w:rsidRDefault="009A6769" w:rsidP="00FD7F50">
            <w:pPr>
              <w:pStyle w:val="TableParagraph"/>
              <w:spacing w:line="247" w:lineRule="exact"/>
              <w:ind w:left="358"/>
              <w:rPr>
                <w:rFonts w:ascii="Cambria" w:eastAsia="Cambria" w:hAnsi="Cambria" w:cs="Cambria"/>
              </w:rPr>
            </w:pPr>
            <w:r>
              <w:rPr>
                <w:rFonts w:ascii="Cambria"/>
                <w:spacing w:val="-1"/>
              </w:rPr>
              <w:t>Teacher</w:t>
            </w:r>
          </w:p>
        </w:tc>
        <w:tc>
          <w:tcPr>
            <w:tcW w:w="1704" w:type="dxa"/>
            <w:tcBorders>
              <w:top w:val="nil"/>
              <w:left w:val="nil"/>
              <w:bottom w:val="nil"/>
              <w:right w:val="nil"/>
            </w:tcBorders>
          </w:tcPr>
          <w:p w:rsidR="009A6769" w:rsidRDefault="009A6769" w:rsidP="00FD7F50">
            <w:pPr>
              <w:pStyle w:val="TableParagraph"/>
              <w:spacing w:line="247" w:lineRule="exact"/>
              <w:ind w:left="660"/>
              <w:rPr>
                <w:rFonts w:ascii="Cambria" w:eastAsia="Cambria" w:hAnsi="Cambria" w:cs="Cambria"/>
              </w:rPr>
            </w:pPr>
            <w:r>
              <w:rPr>
                <w:rFonts w:ascii="Cambria"/>
                <w:spacing w:val="-1"/>
              </w:rPr>
              <w:t>Appointed</w:t>
            </w:r>
          </w:p>
        </w:tc>
      </w:tr>
      <w:tr w:rsidR="009A6769" w:rsidTr="00FD7F50">
        <w:trPr>
          <w:trHeight w:hRule="exact" w:val="258"/>
        </w:trPr>
        <w:tc>
          <w:tcPr>
            <w:tcW w:w="2577" w:type="dxa"/>
            <w:tcBorders>
              <w:top w:val="nil"/>
              <w:left w:val="nil"/>
              <w:bottom w:val="nil"/>
              <w:right w:val="nil"/>
            </w:tcBorders>
          </w:tcPr>
          <w:p w:rsidR="009A6769" w:rsidRDefault="009A6769" w:rsidP="00FD7F50">
            <w:pPr>
              <w:pStyle w:val="TableParagraph"/>
              <w:spacing w:line="246" w:lineRule="exact"/>
              <w:ind w:left="55"/>
              <w:rPr>
                <w:rFonts w:ascii="Cambria" w:eastAsia="Cambria" w:hAnsi="Cambria" w:cs="Cambria"/>
              </w:rPr>
            </w:pPr>
            <w:r>
              <w:rPr>
                <w:rFonts w:ascii="Cambria"/>
                <w:spacing w:val="-1"/>
              </w:rPr>
              <w:lastRenderedPageBreak/>
              <w:t>Taryn Hennen</w:t>
            </w:r>
          </w:p>
        </w:tc>
        <w:tc>
          <w:tcPr>
            <w:tcW w:w="3299" w:type="dxa"/>
            <w:tcBorders>
              <w:top w:val="nil"/>
              <w:left w:val="nil"/>
              <w:bottom w:val="nil"/>
              <w:right w:val="nil"/>
            </w:tcBorders>
          </w:tcPr>
          <w:p w:rsidR="009A6769" w:rsidRDefault="009A6769" w:rsidP="00FD7F50">
            <w:pPr>
              <w:pStyle w:val="TableParagraph"/>
              <w:spacing w:line="246" w:lineRule="exact"/>
              <w:ind w:left="358"/>
              <w:rPr>
                <w:rFonts w:ascii="Cambria" w:eastAsia="Cambria" w:hAnsi="Cambria" w:cs="Cambria"/>
              </w:rPr>
            </w:pPr>
            <w:r>
              <w:rPr>
                <w:rFonts w:ascii="Cambria"/>
                <w:spacing w:val="-1"/>
              </w:rPr>
              <w:t>Teacher</w:t>
            </w:r>
          </w:p>
        </w:tc>
        <w:tc>
          <w:tcPr>
            <w:tcW w:w="1704" w:type="dxa"/>
            <w:tcBorders>
              <w:top w:val="nil"/>
              <w:left w:val="nil"/>
              <w:bottom w:val="nil"/>
              <w:right w:val="nil"/>
            </w:tcBorders>
          </w:tcPr>
          <w:p w:rsidR="009A6769" w:rsidRDefault="009A6769" w:rsidP="00FD7F50">
            <w:pPr>
              <w:pStyle w:val="TableParagraph"/>
              <w:spacing w:line="246" w:lineRule="exact"/>
              <w:ind w:left="660"/>
              <w:rPr>
                <w:rFonts w:ascii="Cambria" w:eastAsia="Cambria" w:hAnsi="Cambria" w:cs="Cambria"/>
              </w:rPr>
            </w:pPr>
            <w:r>
              <w:rPr>
                <w:rFonts w:ascii="Cambria"/>
                <w:spacing w:val="-1"/>
              </w:rPr>
              <w:t>Appointed</w:t>
            </w:r>
          </w:p>
        </w:tc>
      </w:tr>
      <w:tr w:rsidR="009A6769" w:rsidTr="00FD7F50">
        <w:trPr>
          <w:trHeight w:hRule="exact" w:val="258"/>
        </w:trPr>
        <w:tc>
          <w:tcPr>
            <w:tcW w:w="2577" w:type="dxa"/>
            <w:tcBorders>
              <w:top w:val="nil"/>
              <w:left w:val="nil"/>
              <w:bottom w:val="nil"/>
              <w:right w:val="nil"/>
            </w:tcBorders>
          </w:tcPr>
          <w:p w:rsidR="009A6769" w:rsidRDefault="009A6769" w:rsidP="00FD7F50">
            <w:pPr>
              <w:pStyle w:val="TableParagraph"/>
              <w:spacing w:line="247" w:lineRule="exact"/>
              <w:ind w:left="55"/>
              <w:rPr>
                <w:rFonts w:ascii="Cambria" w:eastAsia="Cambria" w:hAnsi="Cambria" w:cs="Cambria"/>
              </w:rPr>
            </w:pPr>
            <w:r>
              <w:rPr>
                <w:rFonts w:ascii="Cambria"/>
              </w:rPr>
              <w:t>Carolyn</w:t>
            </w:r>
            <w:r>
              <w:rPr>
                <w:rFonts w:ascii="Cambria"/>
                <w:spacing w:val="-2"/>
              </w:rPr>
              <w:t xml:space="preserve"> </w:t>
            </w:r>
            <w:r>
              <w:rPr>
                <w:rFonts w:ascii="Cambria"/>
                <w:spacing w:val="-1"/>
              </w:rPr>
              <w:t>Disch</w:t>
            </w:r>
          </w:p>
        </w:tc>
        <w:tc>
          <w:tcPr>
            <w:tcW w:w="3299" w:type="dxa"/>
            <w:tcBorders>
              <w:top w:val="nil"/>
              <w:left w:val="nil"/>
              <w:bottom w:val="nil"/>
              <w:right w:val="nil"/>
            </w:tcBorders>
          </w:tcPr>
          <w:p w:rsidR="009A6769" w:rsidRDefault="009A6769" w:rsidP="00FD7F50">
            <w:pPr>
              <w:pStyle w:val="TableParagraph"/>
              <w:spacing w:line="247" w:lineRule="exact"/>
              <w:ind w:left="358"/>
              <w:rPr>
                <w:rFonts w:ascii="Cambria" w:eastAsia="Cambria" w:hAnsi="Cambria" w:cs="Cambria"/>
              </w:rPr>
            </w:pPr>
            <w:r>
              <w:rPr>
                <w:rFonts w:ascii="Cambria"/>
                <w:spacing w:val="-1"/>
              </w:rPr>
              <w:t>Social</w:t>
            </w:r>
            <w:r>
              <w:rPr>
                <w:rFonts w:ascii="Cambria"/>
                <w:spacing w:val="-3"/>
              </w:rPr>
              <w:t xml:space="preserve"> </w:t>
            </w:r>
            <w:r>
              <w:rPr>
                <w:rFonts w:ascii="Cambria"/>
                <w:spacing w:val="-1"/>
              </w:rPr>
              <w:t>Worker</w:t>
            </w:r>
          </w:p>
        </w:tc>
        <w:tc>
          <w:tcPr>
            <w:tcW w:w="1704" w:type="dxa"/>
            <w:tcBorders>
              <w:top w:val="nil"/>
              <w:left w:val="nil"/>
              <w:bottom w:val="nil"/>
              <w:right w:val="nil"/>
            </w:tcBorders>
          </w:tcPr>
          <w:p w:rsidR="009A6769" w:rsidRDefault="009A6769" w:rsidP="00FD7F50">
            <w:pPr>
              <w:pStyle w:val="TableParagraph"/>
              <w:spacing w:line="247" w:lineRule="exact"/>
              <w:ind w:left="660"/>
              <w:rPr>
                <w:rFonts w:ascii="Cambria" w:eastAsia="Cambria" w:hAnsi="Cambria" w:cs="Cambria"/>
              </w:rPr>
            </w:pPr>
            <w:r>
              <w:rPr>
                <w:rFonts w:ascii="Cambria"/>
                <w:spacing w:val="-1"/>
              </w:rPr>
              <w:t>Appointed</w:t>
            </w:r>
          </w:p>
        </w:tc>
      </w:tr>
      <w:tr w:rsidR="009A6769" w:rsidTr="00FD7F50">
        <w:trPr>
          <w:trHeight w:hRule="exact" w:val="258"/>
        </w:trPr>
        <w:tc>
          <w:tcPr>
            <w:tcW w:w="2577" w:type="dxa"/>
            <w:tcBorders>
              <w:top w:val="nil"/>
              <w:left w:val="nil"/>
              <w:bottom w:val="nil"/>
              <w:right w:val="nil"/>
            </w:tcBorders>
          </w:tcPr>
          <w:p w:rsidR="009A6769" w:rsidRDefault="009A6769" w:rsidP="00FD7F50">
            <w:pPr>
              <w:pStyle w:val="TableParagraph"/>
              <w:spacing w:line="246" w:lineRule="exact"/>
              <w:ind w:left="55"/>
              <w:rPr>
                <w:rFonts w:ascii="Cambria" w:eastAsia="Cambria" w:hAnsi="Cambria" w:cs="Cambria"/>
              </w:rPr>
            </w:pPr>
            <w:r>
              <w:rPr>
                <w:rFonts w:ascii="Cambria"/>
              </w:rPr>
              <w:t xml:space="preserve">Phaedra </w:t>
            </w:r>
            <w:r>
              <w:rPr>
                <w:rFonts w:ascii="Cambria"/>
                <w:spacing w:val="-1"/>
              </w:rPr>
              <w:t>Poppen</w:t>
            </w:r>
          </w:p>
        </w:tc>
        <w:tc>
          <w:tcPr>
            <w:tcW w:w="3299" w:type="dxa"/>
            <w:tcBorders>
              <w:top w:val="nil"/>
              <w:left w:val="nil"/>
              <w:bottom w:val="nil"/>
              <w:right w:val="nil"/>
            </w:tcBorders>
          </w:tcPr>
          <w:p w:rsidR="009A6769" w:rsidRDefault="009A6769" w:rsidP="00FD7F50">
            <w:pPr>
              <w:pStyle w:val="TableParagraph"/>
              <w:spacing w:line="246" w:lineRule="exact"/>
              <w:ind w:left="358"/>
              <w:rPr>
                <w:rFonts w:ascii="Cambria" w:eastAsia="Cambria" w:hAnsi="Cambria" w:cs="Cambria"/>
              </w:rPr>
            </w:pPr>
            <w:r>
              <w:rPr>
                <w:rFonts w:ascii="Cambria"/>
                <w:spacing w:val="-1"/>
              </w:rPr>
              <w:t>Counselor</w:t>
            </w:r>
          </w:p>
        </w:tc>
        <w:tc>
          <w:tcPr>
            <w:tcW w:w="1704" w:type="dxa"/>
            <w:tcBorders>
              <w:top w:val="nil"/>
              <w:left w:val="nil"/>
              <w:bottom w:val="nil"/>
              <w:right w:val="nil"/>
            </w:tcBorders>
          </w:tcPr>
          <w:p w:rsidR="009A6769" w:rsidRDefault="009A6769" w:rsidP="00FD7F50">
            <w:pPr>
              <w:pStyle w:val="TableParagraph"/>
              <w:spacing w:line="246" w:lineRule="exact"/>
              <w:ind w:left="660"/>
              <w:rPr>
                <w:rFonts w:ascii="Cambria" w:eastAsia="Cambria" w:hAnsi="Cambria" w:cs="Cambria"/>
              </w:rPr>
            </w:pPr>
            <w:r>
              <w:rPr>
                <w:rFonts w:ascii="Cambria"/>
                <w:spacing w:val="-1"/>
              </w:rPr>
              <w:t>Appointed</w:t>
            </w:r>
          </w:p>
        </w:tc>
      </w:tr>
      <w:tr w:rsidR="009A6769" w:rsidTr="00FD7F50">
        <w:trPr>
          <w:trHeight w:hRule="exact" w:val="258"/>
        </w:trPr>
        <w:tc>
          <w:tcPr>
            <w:tcW w:w="2577" w:type="dxa"/>
            <w:tcBorders>
              <w:top w:val="nil"/>
              <w:left w:val="nil"/>
              <w:bottom w:val="nil"/>
              <w:right w:val="nil"/>
            </w:tcBorders>
          </w:tcPr>
          <w:p w:rsidR="009A6769" w:rsidRDefault="009A6769" w:rsidP="00FD7F50">
            <w:pPr>
              <w:pStyle w:val="TableParagraph"/>
              <w:spacing w:line="247" w:lineRule="exact"/>
              <w:ind w:left="55"/>
              <w:rPr>
                <w:rFonts w:ascii="Cambria" w:eastAsia="Cambria" w:hAnsi="Cambria" w:cs="Cambria"/>
              </w:rPr>
            </w:pPr>
            <w:r>
              <w:rPr>
                <w:rFonts w:ascii="Cambria"/>
                <w:spacing w:val="-1"/>
              </w:rPr>
              <w:t>Karen Kraco</w:t>
            </w:r>
          </w:p>
        </w:tc>
        <w:tc>
          <w:tcPr>
            <w:tcW w:w="3299" w:type="dxa"/>
            <w:tcBorders>
              <w:top w:val="nil"/>
              <w:left w:val="nil"/>
              <w:bottom w:val="nil"/>
              <w:right w:val="nil"/>
            </w:tcBorders>
          </w:tcPr>
          <w:p w:rsidR="009A6769" w:rsidRDefault="009A6769" w:rsidP="00FD7F50">
            <w:pPr>
              <w:pStyle w:val="TableParagraph"/>
              <w:spacing w:line="247" w:lineRule="exact"/>
              <w:ind w:left="358"/>
              <w:rPr>
                <w:rFonts w:ascii="Cambria" w:eastAsia="Cambria" w:hAnsi="Cambria" w:cs="Cambria"/>
              </w:rPr>
            </w:pPr>
            <w:r>
              <w:rPr>
                <w:rFonts w:ascii="Cambria"/>
                <w:spacing w:val="-1"/>
              </w:rPr>
              <w:t xml:space="preserve">Orientation </w:t>
            </w:r>
            <w:r>
              <w:rPr>
                <w:rFonts w:ascii="Cambria"/>
              </w:rPr>
              <w:t>&amp;</w:t>
            </w:r>
            <w:r>
              <w:rPr>
                <w:rFonts w:ascii="Cambria"/>
                <w:spacing w:val="-1"/>
              </w:rPr>
              <w:t xml:space="preserve"> Retention</w:t>
            </w:r>
          </w:p>
        </w:tc>
        <w:tc>
          <w:tcPr>
            <w:tcW w:w="1704" w:type="dxa"/>
            <w:tcBorders>
              <w:top w:val="nil"/>
              <w:left w:val="nil"/>
              <w:bottom w:val="nil"/>
              <w:right w:val="nil"/>
            </w:tcBorders>
          </w:tcPr>
          <w:p w:rsidR="009A6769" w:rsidRDefault="009A6769" w:rsidP="00FD7F50">
            <w:pPr>
              <w:pStyle w:val="TableParagraph"/>
              <w:spacing w:line="247" w:lineRule="exact"/>
              <w:ind w:left="660"/>
              <w:rPr>
                <w:rFonts w:ascii="Cambria" w:eastAsia="Cambria" w:hAnsi="Cambria" w:cs="Cambria"/>
              </w:rPr>
            </w:pPr>
            <w:r>
              <w:rPr>
                <w:rFonts w:ascii="Cambria"/>
                <w:spacing w:val="-1"/>
              </w:rPr>
              <w:t>Appointed</w:t>
            </w:r>
          </w:p>
        </w:tc>
      </w:tr>
      <w:tr w:rsidR="009A6769" w:rsidTr="00FD7F50">
        <w:trPr>
          <w:trHeight w:hRule="exact" w:val="339"/>
        </w:trPr>
        <w:tc>
          <w:tcPr>
            <w:tcW w:w="2577" w:type="dxa"/>
            <w:tcBorders>
              <w:top w:val="nil"/>
              <w:left w:val="nil"/>
              <w:bottom w:val="nil"/>
              <w:right w:val="nil"/>
            </w:tcBorders>
          </w:tcPr>
          <w:p w:rsidR="009A6769" w:rsidRDefault="009A6769" w:rsidP="00FD7F50">
            <w:pPr>
              <w:pStyle w:val="TableParagraph"/>
              <w:spacing w:line="246" w:lineRule="exact"/>
              <w:ind w:left="55"/>
              <w:rPr>
                <w:rFonts w:ascii="Cambria" w:eastAsia="Cambria" w:hAnsi="Cambria" w:cs="Cambria"/>
              </w:rPr>
            </w:pPr>
            <w:r>
              <w:rPr>
                <w:rFonts w:ascii="Cambria"/>
                <w:spacing w:val="-1"/>
              </w:rPr>
              <w:t>Bonnie</w:t>
            </w:r>
            <w:r>
              <w:rPr>
                <w:rFonts w:ascii="Cambria"/>
              </w:rPr>
              <w:t xml:space="preserve"> </w:t>
            </w:r>
            <w:r>
              <w:rPr>
                <w:rFonts w:ascii="Cambria"/>
                <w:spacing w:val="-1"/>
              </w:rPr>
              <w:t>Jude</w:t>
            </w:r>
          </w:p>
        </w:tc>
        <w:tc>
          <w:tcPr>
            <w:tcW w:w="3299" w:type="dxa"/>
            <w:tcBorders>
              <w:top w:val="nil"/>
              <w:left w:val="nil"/>
              <w:bottom w:val="nil"/>
              <w:right w:val="nil"/>
            </w:tcBorders>
          </w:tcPr>
          <w:p w:rsidR="009A6769" w:rsidRDefault="009A6769" w:rsidP="00FD7F50">
            <w:pPr>
              <w:pStyle w:val="TableParagraph"/>
              <w:spacing w:line="246" w:lineRule="exact"/>
              <w:ind w:left="358"/>
              <w:rPr>
                <w:rFonts w:ascii="Cambria" w:eastAsia="Cambria" w:hAnsi="Cambria" w:cs="Cambria"/>
              </w:rPr>
            </w:pPr>
            <w:r>
              <w:rPr>
                <w:rFonts w:ascii="Cambria"/>
                <w:spacing w:val="-1"/>
              </w:rPr>
              <w:t>Teacher</w:t>
            </w:r>
          </w:p>
        </w:tc>
        <w:tc>
          <w:tcPr>
            <w:tcW w:w="1704" w:type="dxa"/>
            <w:tcBorders>
              <w:top w:val="nil"/>
              <w:left w:val="nil"/>
              <w:bottom w:val="nil"/>
              <w:right w:val="nil"/>
            </w:tcBorders>
          </w:tcPr>
          <w:p w:rsidR="009A6769" w:rsidRPr="0028474C" w:rsidRDefault="009A6769" w:rsidP="00FD7F50">
            <w:pPr>
              <w:pStyle w:val="TableParagraph"/>
              <w:spacing w:line="246" w:lineRule="exact"/>
              <w:ind w:left="660"/>
              <w:rPr>
                <w:rFonts w:ascii="Cambria"/>
                <w:spacing w:val="-1"/>
              </w:rPr>
            </w:pPr>
            <w:r>
              <w:rPr>
                <w:rFonts w:ascii="Cambria"/>
                <w:spacing w:val="-1"/>
              </w:rPr>
              <w:t>Appointed</w:t>
            </w:r>
          </w:p>
        </w:tc>
      </w:tr>
    </w:tbl>
    <w:p w:rsidR="00D34F12" w:rsidRPr="00D34F12" w:rsidRDefault="00F10186" w:rsidP="00D34F12">
      <w:pPr>
        <w:pStyle w:val="Heading2"/>
        <w:spacing w:before="360" w:after="0"/>
        <w:rPr>
          <w:sz w:val="22"/>
          <w:szCs w:val="22"/>
        </w:rPr>
      </w:pPr>
      <w:r w:rsidRPr="0062783D">
        <w:rPr>
          <w:sz w:val="22"/>
          <w:szCs w:val="22"/>
        </w:rPr>
        <w:t>Goals and Results</w:t>
      </w:r>
      <w:r w:rsidR="00D34F12">
        <w:rPr>
          <w:sz w:val="22"/>
          <w:szCs w:val="22"/>
        </w:rPr>
        <w:br/>
      </w:r>
    </w:p>
    <w:tbl>
      <w:tblPr>
        <w:tblStyle w:val="TableGrid"/>
        <w:tblW w:w="0" w:type="auto"/>
        <w:tblLook w:val="04A0"/>
      </w:tblPr>
      <w:tblGrid>
        <w:gridCol w:w="3708"/>
        <w:gridCol w:w="3156"/>
        <w:gridCol w:w="3432"/>
      </w:tblGrid>
      <w:tr w:rsidR="00317BA9" w:rsidRPr="00317BA9" w:rsidTr="00D34F12">
        <w:trPr>
          <w:trHeight w:val="440"/>
          <w:tblHeader/>
        </w:trPr>
        <w:tc>
          <w:tcPr>
            <w:tcW w:w="3708" w:type="dxa"/>
          </w:tcPr>
          <w:p w:rsidR="00317BA9" w:rsidRPr="00317BA9" w:rsidRDefault="00C30032" w:rsidP="00317BA9">
            <w:pPr>
              <w:pStyle w:val="NoSpacing"/>
              <w:spacing w:after="360"/>
              <w:jc w:val="center"/>
              <w:rPr>
                <w:b/>
              </w:rPr>
            </w:pPr>
            <w:r w:rsidRPr="00C30032">
              <w:rPr>
                <w:b/>
                <w:color w:val="FFFFFF" w:themeColor="background1"/>
              </w:rPr>
              <w:t>SMART Goal</w:t>
            </w:r>
          </w:p>
        </w:tc>
        <w:tc>
          <w:tcPr>
            <w:tcW w:w="3156" w:type="dxa"/>
          </w:tcPr>
          <w:p w:rsidR="00317BA9" w:rsidRPr="00317BA9" w:rsidRDefault="00317BA9" w:rsidP="00317BA9">
            <w:pPr>
              <w:pStyle w:val="NoSpacing"/>
              <w:spacing w:after="360"/>
              <w:jc w:val="center"/>
              <w:rPr>
                <w:b/>
              </w:rPr>
            </w:pPr>
            <w:r w:rsidRPr="00317BA9">
              <w:rPr>
                <w:b/>
              </w:rPr>
              <w:t>2014-2015 Goal</w:t>
            </w:r>
            <w:r w:rsidR="00600189">
              <w:rPr>
                <w:b/>
              </w:rPr>
              <w:t>s</w:t>
            </w:r>
          </w:p>
        </w:tc>
        <w:tc>
          <w:tcPr>
            <w:tcW w:w="3432" w:type="dxa"/>
          </w:tcPr>
          <w:p w:rsidR="00317BA9" w:rsidRPr="00317BA9" w:rsidRDefault="00317BA9" w:rsidP="00317BA9">
            <w:pPr>
              <w:pStyle w:val="NoSpacing"/>
              <w:spacing w:after="360"/>
              <w:jc w:val="center"/>
              <w:rPr>
                <w:b/>
              </w:rPr>
            </w:pPr>
            <w:r w:rsidRPr="00317BA9">
              <w:rPr>
                <w:b/>
              </w:rPr>
              <w:t xml:space="preserve">2014-2015 </w:t>
            </w:r>
            <w:r w:rsidR="00600189">
              <w:rPr>
                <w:b/>
              </w:rPr>
              <w:t xml:space="preserve">Goal </w:t>
            </w:r>
            <w:r w:rsidRPr="00317BA9">
              <w:rPr>
                <w:b/>
              </w:rPr>
              <w:t>Result</w:t>
            </w:r>
            <w:r w:rsidR="00600189">
              <w:rPr>
                <w:b/>
              </w:rPr>
              <w:t>s</w:t>
            </w:r>
          </w:p>
        </w:tc>
      </w:tr>
      <w:tr w:rsidR="00317BA9" w:rsidTr="00D34F12">
        <w:trPr>
          <w:trHeight w:val="1133"/>
        </w:trPr>
        <w:tc>
          <w:tcPr>
            <w:tcW w:w="3708" w:type="dxa"/>
          </w:tcPr>
          <w:p w:rsidR="00317BA9" w:rsidRPr="00317BA9" w:rsidRDefault="00317BA9" w:rsidP="00317BA9">
            <w:pPr>
              <w:pStyle w:val="NoSpacing"/>
              <w:rPr>
                <w:b/>
              </w:rPr>
            </w:pPr>
            <w:r w:rsidRPr="007E506F">
              <w:rPr>
                <w:b/>
              </w:rPr>
              <w:t xml:space="preserve">All Students Ready for Kindergarten </w:t>
            </w:r>
          </w:p>
        </w:tc>
        <w:tc>
          <w:tcPr>
            <w:tcW w:w="3156" w:type="dxa"/>
          </w:tcPr>
          <w:p w:rsidR="00317BA9" w:rsidRPr="008706C6" w:rsidRDefault="008706C6" w:rsidP="00317BA9">
            <w:r w:rsidRPr="008706C6">
              <w:t>Not applicable</w:t>
            </w:r>
          </w:p>
        </w:tc>
        <w:tc>
          <w:tcPr>
            <w:tcW w:w="3432" w:type="dxa"/>
          </w:tcPr>
          <w:p w:rsidR="00317BA9" w:rsidRPr="00317BA9" w:rsidRDefault="008706C6" w:rsidP="00317BA9">
            <w:pPr>
              <w:rPr>
                <w:i/>
                <w:color w:val="808080" w:themeColor="background1" w:themeShade="80"/>
              </w:rPr>
            </w:pPr>
            <w:r w:rsidRPr="008706C6">
              <w:t>Not applicable</w:t>
            </w:r>
          </w:p>
        </w:tc>
      </w:tr>
      <w:tr w:rsidR="00317BA9" w:rsidTr="00D34F12">
        <w:trPr>
          <w:trHeight w:val="728"/>
        </w:trPr>
        <w:tc>
          <w:tcPr>
            <w:tcW w:w="3708" w:type="dxa"/>
          </w:tcPr>
          <w:p w:rsidR="00317BA9" w:rsidRDefault="00317BA9" w:rsidP="00F10186">
            <w:pPr>
              <w:pStyle w:val="NoSpacing"/>
              <w:spacing w:after="360"/>
              <w:rPr>
                <w:sz w:val="20"/>
                <w:szCs w:val="20"/>
              </w:rPr>
            </w:pPr>
            <w:r w:rsidRPr="007E506F">
              <w:rPr>
                <w:b/>
              </w:rPr>
              <w:t>All Students in Third Grade Achieving Grade-Level Literacy</w:t>
            </w:r>
          </w:p>
        </w:tc>
        <w:tc>
          <w:tcPr>
            <w:tcW w:w="3156" w:type="dxa"/>
          </w:tcPr>
          <w:p w:rsidR="00317BA9" w:rsidRDefault="008706C6" w:rsidP="00F10186">
            <w:pPr>
              <w:pStyle w:val="NoSpacing"/>
              <w:spacing w:after="360"/>
              <w:rPr>
                <w:sz w:val="20"/>
                <w:szCs w:val="20"/>
              </w:rPr>
            </w:pPr>
            <w:r w:rsidRPr="008706C6">
              <w:t>Not applicable</w:t>
            </w:r>
          </w:p>
        </w:tc>
        <w:tc>
          <w:tcPr>
            <w:tcW w:w="3432" w:type="dxa"/>
          </w:tcPr>
          <w:p w:rsidR="00317BA9" w:rsidRPr="001045D5" w:rsidRDefault="008706C6" w:rsidP="001045D5">
            <w:pPr>
              <w:rPr>
                <w:i/>
                <w:color w:val="808080" w:themeColor="background1" w:themeShade="80"/>
              </w:rPr>
            </w:pPr>
            <w:r w:rsidRPr="008706C6">
              <w:t>Not applicable</w:t>
            </w:r>
          </w:p>
        </w:tc>
      </w:tr>
      <w:tr w:rsidR="00317BA9" w:rsidTr="00D34F12">
        <w:tc>
          <w:tcPr>
            <w:tcW w:w="3708" w:type="dxa"/>
          </w:tcPr>
          <w:p w:rsidR="00317BA9" w:rsidRPr="00317BA9" w:rsidRDefault="00317BA9" w:rsidP="00317BA9">
            <w:pPr>
              <w:pStyle w:val="NoSpacing"/>
              <w:rPr>
                <w:b/>
              </w:rPr>
            </w:pPr>
            <w:r w:rsidRPr="007E506F">
              <w:rPr>
                <w:b/>
              </w:rPr>
              <w:t>Clos</w:t>
            </w:r>
            <w:r>
              <w:rPr>
                <w:b/>
              </w:rPr>
              <w:t>e the</w:t>
            </w:r>
            <w:r w:rsidRPr="007E506F">
              <w:rPr>
                <w:b/>
              </w:rPr>
              <w:t xml:space="preserve"> Achievement Gap(s)</w:t>
            </w:r>
            <w:r>
              <w:rPr>
                <w:b/>
              </w:rPr>
              <w:t xml:space="preserve"> Among All Groups</w:t>
            </w:r>
          </w:p>
        </w:tc>
        <w:tc>
          <w:tcPr>
            <w:tcW w:w="3156" w:type="dxa"/>
          </w:tcPr>
          <w:p w:rsidR="00317BA9" w:rsidRPr="008706C6" w:rsidRDefault="008706C6" w:rsidP="00F10186">
            <w:pPr>
              <w:pStyle w:val="NoSpacing"/>
              <w:spacing w:after="360"/>
              <w:rPr>
                <w:sz w:val="20"/>
                <w:szCs w:val="20"/>
              </w:rPr>
            </w:pPr>
            <w:r w:rsidRPr="008706C6">
              <w:rPr>
                <w:rFonts w:cs="Arial"/>
              </w:rPr>
              <w:t>BlueSky’s goal was to improve MCA Proficiency by 5% for its only major subgroup: Free &amp; Reduced Lunch.</w:t>
            </w:r>
          </w:p>
        </w:tc>
        <w:tc>
          <w:tcPr>
            <w:tcW w:w="3432" w:type="dxa"/>
          </w:tcPr>
          <w:p w:rsidR="008706C6" w:rsidRPr="008706C6" w:rsidRDefault="008706C6" w:rsidP="008706C6">
            <w:pPr>
              <w:rPr>
                <w:rFonts w:cs="Arial"/>
              </w:rPr>
            </w:pPr>
            <w:r w:rsidRPr="008706C6">
              <w:rPr>
                <w:rFonts w:cs="Arial"/>
              </w:rPr>
              <w:t xml:space="preserve">BlueSky’s MCA-Mathematics proficiency for the Free &amp; Reduced Lunch subgroup increased from 0% in 2014 to 25% in 2015. </w:t>
            </w:r>
          </w:p>
          <w:p w:rsidR="008706C6" w:rsidRPr="008706C6" w:rsidRDefault="008706C6" w:rsidP="008706C6">
            <w:pPr>
              <w:rPr>
                <w:rFonts w:cs="Arial"/>
              </w:rPr>
            </w:pPr>
          </w:p>
          <w:p w:rsidR="00317BA9" w:rsidRPr="001045D5" w:rsidRDefault="008706C6" w:rsidP="008706C6">
            <w:pPr>
              <w:rPr>
                <w:i/>
                <w:color w:val="808080" w:themeColor="background1" w:themeShade="80"/>
              </w:rPr>
            </w:pPr>
            <w:r w:rsidRPr="008706C6">
              <w:rPr>
                <w:rFonts w:cs="Arial"/>
              </w:rPr>
              <w:t>BlueSky’s MCA-Mathematics proficiency for the Free &amp; Reduced Lunch subgroup increased from 13.3% in 2014 to 47.4% in 2015.</w:t>
            </w:r>
          </w:p>
        </w:tc>
      </w:tr>
      <w:tr w:rsidR="00317BA9" w:rsidTr="00D34F12">
        <w:tc>
          <w:tcPr>
            <w:tcW w:w="3708" w:type="dxa"/>
          </w:tcPr>
          <w:p w:rsidR="00317BA9" w:rsidRPr="00317BA9" w:rsidRDefault="00317BA9" w:rsidP="00317BA9">
            <w:pPr>
              <w:pStyle w:val="NoSpacing"/>
              <w:rPr>
                <w:b/>
              </w:rPr>
            </w:pPr>
            <w:r w:rsidRPr="007E506F">
              <w:rPr>
                <w:b/>
              </w:rPr>
              <w:t>All Students Career</w:t>
            </w:r>
            <w:r>
              <w:rPr>
                <w:b/>
              </w:rPr>
              <w:t>-</w:t>
            </w:r>
            <w:r w:rsidRPr="007E506F">
              <w:rPr>
                <w:b/>
              </w:rPr>
              <w:t xml:space="preserve"> and College</w:t>
            </w:r>
            <w:r>
              <w:rPr>
                <w:b/>
              </w:rPr>
              <w:t>-</w:t>
            </w:r>
            <w:r w:rsidRPr="007E506F">
              <w:rPr>
                <w:b/>
              </w:rPr>
              <w:t xml:space="preserve">Ready by Graduation </w:t>
            </w:r>
          </w:p>
        </w:tc>
        <w:tc>
          <w:tcPr>
            <w:tcW w:w="3156" w:type="dxa"/>
          </w:tcPr>
          <w:p w:rsidR="00935750" w:rsidRPr="00C27DFC" w:rsidRDefault="00C27DFC" w:rsidP="00F10186">
            <w:pPr>
              <w:pStyle w:val="NoSpacing"/>
              <w:spacing w:after="360"/>
              <w:rPr>
                <w:rFonts w:cs="Arial"/>
              </w:rPr>
            </w:pPr>
            <w:r w:rsidRPr="00C27DFC">
              <w:rPr>
                <w:rFonts w:cs="Arial"/>
              </w:rPr>
              <w:t>All BlueSky students will be required to complete a career plan prior to graduation.</w:t>
            </w:r>
          </w:p>
        </w:tc>
        <w:tc>
          <w:tcPr>
            <w:tcW w:w="3432" w:type="dxa"/>
          </w:tcPr>
          <w:p w:rsidR="00C27DFC" w:rsidRPr="00C27DFC" w:rsidRDefault="00C27DFC" w:rsidP="00C27DFC">
            <w:pPr>
              <w:rPr>
                <w:rFonts w:cs="Arial"/>
              </w:rPr>
            </w:pPr>
            <w:r w:rsidRPr="00C27DFC">
              <w:rPr>
                <w:rFonts w:cs="Arial"/>
              </w:rPr>
              <w:t>100% of BlueSky students who graduated in 2014-2015 completed a career plan and evidenced through documentation in MCIS or counselor notes in Genius SIS.</w:t>
            </w:r>
          </w:p>
          <w:p w:rsidR="00317BA9" w:rsidRPr="00C27DFC" w:rsidRDefault="00317BA9" w:rsidP="001045D5"/>
          <w:p w:rsidR="00C27DFC" w:rsidRPr="00C27DFC" w:rsidRDefault="00C27DFC" w:rsidP="001045D5">
            <w:r w:rsidRPr="00C27DFC">
              <w:rPr>
                <w:rFonts w:cs="Arial"/>
              </w:rPr>
              <w:t>BlueSky’s local graduation requirements were updated to require that “every student must have a current career plan completed and approved by a counselor in order to graduate.”</w:t>
            </w:r>
          </w:p>
        </w:tc>
      </w:tr>
      <w:tr w:rsidR="00317BA9" w:rsidTr="00D34F12">
        <w:tc>
          <w:tcPr>
            <w:tcW w:w="3708" w:type="dxa"/>
          </w:tcPr>
          <w:p w:rsidR="00317BA9" w:rsidRPr="00317BA9" w:rsidRDefault="00317BA9" w:rsidP="00317BA9">
            <w:pPr>
              <w:pStyle w:val="NoSpacing"/>
              <w:rPr>
                <w:b/>
              </w:rPr>
            </w:pPr>
            <w:r w:rsidRPr="007E506F">
              <w:rPr>
                <w:b/>
              </w:rPr>
              <w:t>All Students Graduate</w:t>
            </w:r>
          </w:p>
        </w:tc>
        <w:tc>
          <w:tcPr>
            <w:tcW w:w="3156" w:type="dxa"/>
          </w:tcPr>
          <w:p w:rsidR="00C27DFC" w:rsidRPr="00C27DFC" w:rsidRDefault="00C27DFC" w:rsidP="00C27DFC">
            <w:pPr>
              <w:rPr>
                <w:rFonts w:cs="Arial"/>
              </w:rPr>
            </w:pPr>
            <w:r w:rsidRPr="00C27DFC">
              <w:rPr>
                <w:rFonts w:cs="Arial"/>
              </w:rPr>
              <w:t xml:space="preserve">By the end of the NEO contract term, 90% of all students who enroll with a grade level appropriate amount of credit will graduate on or before their expected graduation date, determined </w:t>
            </w:r>
            <w:r w:rsidRPr="00C27DFC">
              <w:rPr>
                <w:rFonts w:cs="Arial"/>
              </w:rPr>
              <w:lastRenderedPageBreak/>
              <w:t xml:space="preserve">by using the following formula: </w:t>
            </w:r>
          </w:p>
          <w:p w:rsidR="00C27DFC" w:rsidRPr="00C27DFC" w:rsidRDefault="00C27DFC" w:rsidP="00C27DFC">
            <w:pPr>
              <w:rPr>
                <w:rFonts w:cs="Arial"/>
              </w:rPr>
            </w:pPr>
          </w:p>
          <w:p w:rsidR="00317BA9" w:rsidRDefault="00C27DFC" w:rsidP="00C27DFC">
            <w:pPr>
              <w:pStyle w:val="NoSpacing"/>
              <w:spacing w:after="360"/>
              <w:rPr>
                <w:sz w:val="20"/>
                <w:szCs w:val="20"/>
              </w:rPr>
            </w:pPr>
            <w:r w:rsidRPr="00C27DFC">
              <w:rPr>
                <w:rFonts w:cs="Arial"/>
              </w:rPr>
              <w:t>Grad Rate = Total Seniors Enrolled on Track/Total Graduated with BlueSky on Track</w:t>
            </w:r>
          </w:p>
        </w:tc>
        <w:tc>
          <w:tcPr>
            <w:tcW w:w="3432" w:type="dxa"/>
          </w:tcPr>
          <w:p w:rsidR="00C27DFC" w:rsidRPr="00C27DFC" w:rsidRDefault="00C27DFC" w:rsidP="00C27DFC">
            <w:pPr>
              <w:rPr>
                <w:rFonts w:cs="Arial"/>
              </w:rPr>
            </w:pPr>
            <w:r w:rsidRPr="00C27DFC">
              <w:rPr>
                <w:rFonts w:cs="Arial"/>
              </w:rPr>
              <w:lastRenderedPageBreak/>
              <w:t>BlueSky’s graduation rate for students that enrolled on track was as follows:</w:t>
            </w:r>
          </w:p>
          <w:p w:rsidR="00C27DFC" w:rsidRPr="00C27DFC" w:rsidRDefault="00C27DFC" w:rsidP="00C27DFC">
            <w:pPr>
              <w:rPr>
                <w:rFonts w:cs="Arial"/>
              </w:rPr>
            </w:pPr>
          </w:p>
          <w:p w:rsidR="00C27DFC" w:rsidRPr="00C27DFC" w:rsidRDefault="00C27DFC" w:rsidP="00C27DFC">
            <w:pPr>
              <w:rPr>
                <w:rFonts w:cs="Arial"/>
              </w:rPr>
            </w:pPr>
            <w:r w:rsidRPr="00C27DFC">
              <w:rPr>
                <w:rFonts w:cs="Arial"/>
              </w:rPr>
              <w:t>88.1% for the 2012-2013 school year</w:t>
            </w:r>
          </w:p>
          <w:p w:rsidR="00C27DFC" w:rsidRPr="00C27DFC" w:rsidRDefault="00C27DFC" w:rsidP="00C27DFC">
            <w:pPr>
              <w:rPr>
                <w:rFonts w:cs="Arial"/>
              </w:rPr>
            </w:pPr>
            <w:r w:rsidRPr="00C27DFC">
              <w:rPr>
                <w:rFonts w:cs="Arial"/>
              </w:rPr>
              <w:t xml:space="preserve">82.4% for the 2013-2014 school </w:t>
            </w:r>
            <w:r w:rsidRPr="00C27DFC">
              <w:rPr>
                <w:rFonts w:cs="Arial"/>
              </w:rPr>
              <w:lastRenderedPageBreak/>
              <w:t>year</w:t>
            </w:r>
          </w:p>
          <w:p w:rsidR="00317BA9" w:rsidRPr="001045D5" w:rsidRDefault="00C27DFC" w:rsidP="00C27DFC">
            <w:pPr>
              <w:rPr>
                <w:i/>
                <w:color w:val="808080" w:themeColor="background1" w:themeShade="80"/>
              </w:rPr>
            </w:pPr>
            <w:r w:rsidRPr="00C27DFC">
              <w:rPr>
                <w:rFonts w:cs="Arial"/>
              </w:rPr>
              <w:t>78.0% for the 2014-2015 school year (18.3% of students that did not enroll on track were able to graduate on time)</w:t>
            </w:r>
          </w:p>
        </w:tc>
      </w:tr>
    </w:tbl>
    <w:p w:rsidR="00897BC8" w:rsidRDefault="00897BC8" w:rsidP="00897BC8">
      <w:pPr>
        <w:pStyle w:val="Heading2"/>
        <w:spacing w:before="360" w:after="0"/>
      </w:pPr>
      <w:r>
        <w:lastRenderedPageBreak/>
        <w:t>Identified Needs Based on Data</w:t>
      </w:r>
    </w:p>
    <w:p w:rsidR="0035680A" w:rsidRDefault="0035680A" w:rsidP="0035680A">
      <w:pPr>
        <w:pStyle w:val="List"/>
        <w:spacing w:after="120"/>
        <w:ind w:left="0" w:firstLine="0"/>
        <w:rPr>
          <w:sz w:val="20"/>
          <w:szCs w:val="20"/>
        </w:rPr>
      </w:pPr>
      <w:r>
        <w:rPr>
          <w:sz w:val="20"/>
          <w:szCs w:val="20"/>
        </w:rPr>
        <w:t>A variety of data was used during the 2014-2015 school year in order to determine student needs. This data includes state accountability tests, such as the Minnesota Comprehensive Assessments (MCAs) and NWEA MAP assessments.</w:t>
      </w:r>
    </w:p>
    <w:p w:rsidR="0035680A" w:rsidRPr="0035680A" w:rsidRDefault="0035680A" w:rsidP="0035680A">
      <w:pPr>
        <w:pStyle w:val="List"/>
        <w:spacing w:after="120"/>
        <w:ind w:left="0" w:firstLine="0"/>
        <w:rPr>
          <w:i/>
          <w:color w:val="808080" w:themeColor="background1" w:themeShade="80"/>
        </w:rPr>
      </w:pPr>
    </w:p>
    <w:p w:rsidR="0035680A" w:rsidRDefault="0035680A" w:rsidP="0035680A">
      <w:pPr>
        <w:pStyle w:val="List"/>
        <w:spacing w:after="120"/>
        <w:ind w:left="0" w:firstLine="0"/>
        <w:rPr>
          <w:sz w:val="20"/>
          <w:szCs w:val="20"/>
        </w:rPr>
      </w:pPr>
      <w:r>
        <w:rPr>
          <w:sz w:val="20"/>
          <w:szCs w:val="20"/>
        </w:rPr>
        <w:t xml:space="preserve">Upon review of the assessment data, </w:t>
      </w:r>
      <w:r w:rsidRPr="0035680A">
        <w:rPr>
          <w:i/>
          <w:sz w:val="20"/>
          <w:szCs w:val="20"/>
        </w:rPr>
        <w:t>reading</w:t>
      </w:r>
      <w:r w:rsidRPr="00A80D51">
        <w:rPr>
          <w:sz w:val="20"/>
          <w:szCs w:val="20"/>
        </w:rPr>
        <w:t xml:space="preserve"> was identified as a primary goal and Q-Comp focus area due to a 13.3% drop in MCA scores from the 2012-2013 school year to the 2013-2014 school year. In particular, students that qualified for free and reduced lunch decreased by 20%.</w:t>
      </w:r>
    </w:p>
    <w:p w:rsidR="0035680A" w:rsidRPr="0035680A" w:rsidRDefault="0035680A" w:rsidP="0035680A">
      <w:pPr>
        <w:pStyle w:val="List"/>
        <w:spacing w:after="120"/>
        <w:ind w:left="0" w:firstLine="0"/>
        <w:rPr>
          <w:i/>
          <w:color w:val="808080" w:themeColor="background1" w:themeShade="80"/>
        </w:rPr>
      </w:pPr>
    </w:p>
    <w:p w:rsidR="00A47D84" w:rsidRDefault="0035680A" w:rsidP="0035680A">
      <w:pPr>
        <w:pStyle w:val="List"/>
        <w:spacing w:after="120"/>
        <w:ind w:left="0" w:firstLine="0"/>
        <w:rPr>
          <w:i/>
          <w:color w:val="808080" w:themeColor="background1" w:themeShade="80"/>
        </w:rPr>
      </w:pPr>
      <w:r w:rsidRPr="00A80D51">
        <w:rPr>
          <w:sz w:val="20"/>
          <w:szCs w:val="20"/>
        </w:rPr>
        <w:t>Mathematics was also identified as a primary goal area. Overall mathematic scores have trended much lower than the state average. In 2014, BlueSky’s math scores were 52.3% lower than the state average. In particular, students that qualified for free and reduced lunch decreased by 15.8%, with 0% passing. Bas</w:t>
      </w:r>
      <w:r>
        <w:rPr>
          <w:sz w:val="20"/>
          <w:szCs w:val="20"/>
        </w:rPr>
        <w:t>ed on these needs, specific</w:t>
      </w:r>
      <w:r w:rsidRPr="00A80D51">
        <w:rPr>
          <w:sz w:val="20"/>
          <w:szCs w:val="20"/>
        </w:rPr>
        <w:t xml:space="preserve"> systems, strategies and supports were </w:t>
      </w:r>
      <w:r>
        <w:rPr>
          <w:sz w:val="20"/>
          <w:szCs w:val="20"/>
        </w:rPr>
        <w:t xml:space="preserve">established and </w:t>
      </w:r>
      <w:r w:rsidRPr="00A80D51">
        <w:rPr>
          <w:sz w:val="20"/>
          <w:szCs w:val="20"/>
        </w:rPr>
        <w:t>implemented</w:t>
      </w:r>
      <w:r>
        <w:rPr>
          <w:sz w:val="20"/>
          <w:szCs w:val="20"/>
        </w:rPr>
        <w:t xml:space="preserve"> and are listed in the </w:t>
      </w:r>
      <w:r w:rsidRPr="0035680A">
        <w:rPr>
          <w:i/>
          <w:sz w:val="20"/>
          <w:szCs w:val="20"/>
        </w:rPr>
        <w:t>Systems, Strategies and Support Category</w:t>
      </w:r>
      <w:r>
        <w:rPr>
          <w:sz w:val="20"/>
          <w:szCs w:val="20"/>
        </w:rPr>
        <w:t xml:space="preserve"> of this report</w:t>
      </w:r>
      <w:r w:rsidRPr="00A80D51">
        <w:rPr>
          <w:sz w:val="20"/>
          <w:szCs w:val="20"/>
        </w:rPr>
        <w:t>.</w:t>
      </w:r>
      <w:r>
        <w:rPr>
          <w:sz w:val="20"/>
          <w:szCs w:val="20"/>
        </w:rPr>
        <w:t xml:space="preserve"> </w:t>
      </w:r>
    </w:p>
    <w:p w:rsidR="00970CEF" w:rsidRDefault="009D5E3B" w:rsidP="00940649">
      <w:pPr>
        <w:pStyle w:val="Heading2"/>
        <w:spacing w:before="360"/>
      </w:pPr>
      <w:r>
        <w:t xml:space="preserve">Systems, </w:t>
      </w:r>
      <w:r w:rsidR="00DD1961">
        <w:t xml:space="preserve">Strategies and </w:t>
      </w:r>
      <w:r w:rsidR="00970CEF">
        <w:t>Support Category</w:t>
      </w:r>
    </w:p>
    <w:p w:rsidR="00970CEF" w:rsidRDefault="00970CEF" w:rsidP="00970CEF">
      <w:pPr>
        <w:pStyle w:val="NoSpacing"/>
        <w:rPr>
          <w:b/>
        </w:rPr>
      </w:pPr>
      <w:r w:rsidRPr="00970CEF">
        <w:rPr>
          <w:b/>
        </w:rPr>
        <w:t>Students</w:t>
      </w:r>
    </w:p>
    <w:p w:rsidR="00FD7F50" w:rsidRDefault="00FD7F50" w:rsidP="00FD7F50">
      <w:r>
        <w:t>BlueSky’s vision is to define education for the 21</w:t>
      </w:r>
      <w:r w:rsidRPr="00A11FE2">
        <w:rPr>
          <w:vertAlign w:val="superscript"/>
        </w:rPr>
        <w:t>st</w:t>
      </w:r>
      <w:r>
        <w:t xml:space="preserve"> century by creating an individualized, dynamic education for all students. BlueSky is committed to empowering our community by facilitating relevant learning, skills, hopes and relationships. In alignment with that vision, the following systems, strategies and supports were utilized to support students.</w:t>
      </w:r>
    </w:p>
    <w:p w:rsidR="00FD7F50" w:rsidRPr="00CB5847" w:rsidRDefault="00FD7F50" w:rsidP="00FD7F50">
      <w:pPr>
        <w:pStyle w:val="ListParagraph"/>
      </w:pPr>
      <w:r w:rsidRPr="00CB5847">
        <w:t>All 7th through 11th grade students completed the NWEA MAP assessments in mathematics and reading twice during the school year. Student data was disaggregated based on strand and targeted interventions were provided to student groups based on identified needs.</w:t>
      </w:r>
    </w:p>
    <w:p w:rsidR="00FD7F50" w:rsidRPr="00CB5847" w:rsidRDefault="00FD7F50" w:rsidP="00FD7F50">
      <w:pPr>
        <w:pStyle w:val="ListParagraph"/>
      </w:pPr>
      <w:r w:rsidRPr="00CB5847">
        <w:t>Students identified as having significant learning deficiencies received supports through BlueSky’s response to intervention team which included targeted one-on-one student support. This also incorporated the use of Coordinated Early Intervening Services (CEIS).</w:t>
      </w:r>
    </w:p>
    <w:p w:rsidR="00FD7F50" w:rsidRPr="00CB5847" w:rsidRDefault="00FD7F50" w:rsidP="00FD7F50">
      <w:pPr>
        <w:pStyle w:val="ListParagraph"/>
      </w:pPr>
      <w:r w:rsidRPr="00CB5847">
        <w:t>Instructional strategies focused on identifying main ideas and reading comprehension were integrated in all content areas.</w:t>
      </w:r>
    </w:p>
    <w:p w:rsidR="00FD7F50" w:rsidRPr="00CB5847" w:rsidRDefault="00FD7F50" w:rsidP="00FD7F50">
      <w:pPr>
        <w:pStyle w:val="ListParagraph"/>
      </w:pPr>
      <w:r w:rsidRPr="00CB5847">
        <w:lastRenderedPageBreak/>
        <w:t>Student services advisors provided academic coaching and guidance to all students.</w:t>
      </w:r>
    </w:p>
    <w:p w:rsidR="00FD7F50" w:rsidRPr="00CB5847" w:rsidRDefault="00FD7F50" w:rsidP="00FD7F50">
      <w:pPr>
        <w:pStyle w:val="ListParagraph"/>
      </w:pPr>
      <w:r w:rsidRPr="00CB5847">
        <w:t>Students identified with academic and/or attendance needs were placed on Student Support Plans and Academic Probation Plans.</w:t>
      </w:r>
    </w:p>
    <w:p w:rsidR="00FD7F50" w:rsidRPr="00CB5847" w:rsidRDefault="00FD7F50" w:rsidP="00FD7F50">
      <w:pPr>
        <w:pStyle w:val="ListParagraph"/>
      </w:pPr>
      <w:r w:rsidRPr="00CB5847">
        <w:t>All students were required to complete a career plan prior to graduation.</w:t>
      </w:r>
    </w:p>
    <w:p w:rsidR="00FD7F50" w:rsidRPr="00CB5847" w:rsidRDefault="00FD7F50" w:rsidP="00FD7F50">
      <w:pPr>
        <w:pStyle w:val="ListParagraph"/>
      </w:pPr>
      <w:r w:rsidRPr="00CB5847">
        <w:t>A college and career readiness counselor was made available to all students. BlueSky maintains a 1:160 student to counselor ratio.</w:t>
      </w:r>
    </w:p>
    <w:p w:rsidR="00FD7F50" w:rsidRPr="00CB5847" w:rsidRDefault="00FD7F50" w:rsidP="00FD7F50">
      <w:pPr>
        <w:pStyle w:val="ListParagraph"/>
      </w:pPr>
      <w:r w:rsidRPr="00CB5847">
        <w:t>The preceding systems, strategies and supports were continually monitored by the leadership team. Updates on progress were provided to the school board at every regular board meeting and progress is tracked using a shared spreadsheet.</w:t>
      </w:r>
    </w:p>
    <w:p w:rsidR="004B3CD2" w:rsidRPr="00C4261F" w:rsidRDefault="004B3CD2" w:rsidP="00C4261F">
      <w:pPr>
        <w:pStyle w:val="NoSpacing"/>
      </w:pPr>
    </w:p>
    <w:p w:rsidR="00970CEF" w:rsidRDefault="00970CEF" w:rsidP="00970CEF">
      <w:pPr>
        <w:pStyle w:val="NoSpacing"/>
        <w:rPr>
          <w:b/>
        </w:rPr>
      </w:pPr>
      <w:r w:rsidRPr="00970CEF">
        <w:rPr>
          <w:b/>
        </w:rPr>
        <w:t>Teachers</w:t>
      </w:r>
      <w:r>
        <w:rPr>
          <w:b/>
        </w:rPr>
        <w:t xml:space="preserve"> and </w:t>
      </w:r>
      <w:r w:rsidRPr="00970CEF">
        <w:rPr>
          <w:b/>
        </w:rPr>
        <w:t>Principals</w:t>
      </w:r>
    </w:p>
    <w:p w:rsidR="00C4261F" w:rsidRDefault="00C4261F" w:rsidP="00C4261F">
      <w:pPr>
        <w:pStyle w:val="NoSpacing"/>
      </w:pPr>
      <w:r w:rsidRPr="00CB5847">
        <w:t>BlueSky’s middle school and high school principal</w:t>
      </w:r>
      <w:r>
        <w:t>s</w:t>
      </w:r>
      <w:r w:rsidRPr="00CB5847">
        <w:t xml:space="preserve"> worked closely with the Q-Comp team, Curriculum Committee and Staff Development Committee in providing relevant and meaningful professional development opportunities focused on the identified areas of need. Through this process the following supports were provided to teachers and principals:</w:t>
      </w:r>
    </w:p>
    <w:p w:rsidR="00C4261F" w:rsidRPr="00CB5847" w:rsidRDefault="00C4261F" w:rsidP="00C4261F">
      <w:pPr>
        <w:pStyle w:val="NoSpacing"/>
      </w:pPr>
    </w:p>
    <w:p w:rsidR="00C4261F" w:rsidRDefault="00C4261F" w:rsidP="00C4261F">
      <w:pPr>
        <w:pStyle w:val="ListParagraph"/>
      </w:pPr>
      <w:r>
        <w:t>Professional development and technical support offered through the Minnesota Center for Reading Research (instructional strategies were implemented in all content areas).</w:t>
      </w:r>
    </w:p>
    <w:p w:rsidR="00C4261F" w:rsidRDefault="00C4261F" w:rsidP="00C4261F">
      <w:pPr>
        <w:pStyle w:val="ListParagraph"/>
      </w:pPr>
      <w:r>
        <w:t>Data training offered through NWEA and TIES.</w:t>
      </w:r>
    </w:p>
    <w:p w:rsidR="00C4261F" w:rsidRDefault="00C4261F" w:rsidP="00C4261F">
      <w:pPr>
        <w:pStyle w:val="ListParagraph"/>
      </w:pPr>
      <w:r>
        <w:t>Mathematics and reading intervention specialists were available to support teachers in providing tier 1 and tier 2 interventions.</w:t>
      </w:r>
    </w:p>
    <w:p w:rsidR="00C4261F" w:rsidRDefault="00C4261F" w:rsidP="00C4261F">
      <w:pPr>
        <w:pStyle w:val="ListParagraph"/>
      </w:pPr>
      <w:r>
        <w:t>All licensed staff are organized into Professional Learning Communities.</w:t>
      </w:r>
    </w:p>
    <w:p w:rsidR="00C4261F" w:rsidRDefault="00C4261F" w:rsidP="00C4261F">
      <w:pPr>
        <w:pStyle w:val="ListParagraph"/>
      </w:pPr>
      <w:r>
        <w:t>Staff access to a college and career readiness counselor.</w:t>
      </w:r>
    </w:p>
    <w:p w:rsidR="00970CEF" w:rsidRDefault="00970CEF" w:rsidP="00970CEF">
      <w:pPr>
        <w:pStyle w:val="NoSpacing"/>
      </w:pPr>
    </w:p>
    <w:p w:rsidR="00970CEF" w:rsidRDefault="00970CEF" w:rsidP="00970CEF">
      <w:pPr>
        <w:pStyle w:val="NoSpacing"/>
        <w:rPr>
          <w:b/>
        </w:rPr>
      </w:pPr>
      <w:r w:rsidRPr="00970CEF">
        <w:rPr>
          <w:b/>
        </w:rPr>
        <w:t>District</w:t>
      </w:r>
    </w:p>
    <w:p w:rsidR="00C4261F" w:rsidRPr="00CB5847" w:rsidRDefault="00C4261F" w:rsidP="00C4261F">
      <w:pPr>
        <w:pStyle w:val="NoSpacing"/>
      </w:pPr>
      <w:r>
        <w:t>At the district level</w:t>
      </w:r>
      <w:r w:rsidRPr="00CB5847">
        <w:t xml:space="preserve"> the Board of Directors </w:t>
      </w:r>
      <w:r>
        <w:t>approved a strategic plan focused i</w:t>
      </w:r>
      <w:r w:rsidRPr="00CB5847">
        <w:t>n the areas of, Student Success, Finance and Governance, High Performing Workforce, Technology, and Community Partnerships. Through the strategic plan, the school board has allocated the resources necessary to meet the district’s goals.</w:t>
      </w:r>
      <w:r>
        <w:t xml:space="preserve"> In addition, the board receives consistent progress reports related to each of the strategic plan focus areas.</w:t>
      </w:r>
    </w:p>
    <w:p w:rsidR="00C4261F" w:rsidRPr="00970CEF" w:rsidRDefault="00C4261F" w:rsidP="00970CEF">
      <w:pPr>
        <w:pStyle w:val="NoSpacing"/>
        <w:rPr>
          <w:b/>
        </w:rPr>
      </w:pPr>
    </w:p>
    <w:p w:rsidR="005A0336" w:rsidRDefault="005A0336" w:rsidP="004E64B4">
      <w:pPr>
        <w:pStyle w:val="List"/>
        <w:rPr>
          <w:b/>
          <w:sz w:val="26"/>
          <w:szCs w:val="26"/>
        </w:rPr>
      </w:pPr>
      <w:r>
        <w:rPr>
          <w:b/>
          <w:sz w:val="26"/>
          <w:szCs w:val="26"/>
        </w:rPr>
        <w:t>Equitable Access to Excellent Teachers</w:t>
      </w:r>
    </w:p>
    <w:p w:rsidR="00540977" w:rsidRDefault="00540977" w:rsidP="00540977">
      <w:pPr>
        <w:pStyle w:val="NoSpacing"/>
        <w:spacing w:after="240"/>
        <w:rPr>
          <w:sz w:val="20"/>
          <w:szCs w:val="20"/>
        </w:rPr>
      </w:pPr>
      <w:r>
        <w:rPr>
          <w:sz w:val="20"/>
          <w:szCs w:val="20"/>
        </w:rPr>
        <w:t xml:space="preserve">[Note: </w:t>
      </w:r>
      <w:r w:rsidR="004B3CD2">
        <w:rPr>
          <w:sz w:val="20"/>
          <w:szCs w:val="20"/>
        </w:rPr>
        <w:t>Review</w:t>
      </w:r>
      <w:r>
        <w:rPr>
          <w:sz w:val="20"/>
          <w:szCs w:val="20"/>
        </w:rPr>
        <w:t xml:space="preserve"> the information </w:t>
      </w:r>
      <w:r w:rsidR="00EF4D95">
        <w:rPr>
          <w:sz w:val="20"/>
          <w:szCs w:val="20"/>
        </w:rPr>
        <w:t xml:space="preserve">below. </w:t>
      </w:r>
      <w:r w:rsidR="00EF4D95" w:rsidRPr="004B3CD2">
        <w:rPr>
          <w:b/>
          <w:sz w:val="20"/>
          <w:szCs w:val="20"/>
        </w:rPr>
        <w:t xml:space="preserve">Districts do not need to report </w:t>
      </w:r>
      <w:r w:rsidR="00C03F54" w:rsidRPr="004B3CD2">
        <w:rPr>
          <w:b/>
          <w:sz w:val="20"/>
          <w:szCs w:val="20"/>
        </w:rPr>
        <w:t>information</w:t>
      </w:r>
      <w:r w:rsidR="00EF4D95" w:rsidRPr="004B3CD2">
        <w:rPr>
          <w:b/>
          <w:sz w:val="20"/>
          <w:szCs w:val="20"/>
        </w:rPr>
        <w:t xml:space="preserve"> in this section</w:t>
      </w:r>
      <w:r w:rsidR="00C03F54" w:rsidRPr="004B3CD2">
        <w:rPr>
          <w:b/>
          <w:sz w:val="20"/>
          <w:szCs w:val="20"/>
        </w:rPr>
        <w:t xml:space="preserve"> at this time</w:t>
      </w:r>
      <w:r w:rsidR="00EF4D95" w:rsidRPr="004B3CD2">
        <w:rPr>
          <w:b/>
          <w:sz w:val="20"/>
          <w:szCs w:val="20"/>
        </w:rPr>
        <w:t>.</w:t>
      </w:r>
      <w:r w:rsidR="00EF4D95" w:rsidRPr="007E506F">
        <w:rPr>
          <w:sz w:val="20"/>
          <w:szCs w:val="20"/>
        </w:rPr>
        <w:t>]</w:t>
      </w:r>
      <w:r>
        <w:rPr>
          <w:sz w:val="20"/>
          <w:szCs w:val="20"/>
        </w:rPr>
        <w:t xml:space="preserve">  </w:t>
      </w:r>
    </w:p>
    <w:p w:rsidR="00A71559" w:rsidRPr="00B2615F" w:rsidRDefault="00CB0692" w:rsidP="00DA662E">
      <w:pPr>
        <w:pStyle w:val="NoSpacing"/>
        <w:spacing w:after="360"/>
      </w:pPr>
      <w:r w:rsidRPr="00B2615F">
        <w:t>Section 111</w:t>
      </w:r>
      <w:r w:rsidR="008E6152" w:rsidRPr="00B2615F">
        <w:t xml:space="preserve">1(b)(8)(C) </w:t>
      </w:r>
      <w:r w:rsidRPr="00B2615F">
        <w:t xml:space="preserve">of the Elementary and Secondary Education Act (ESEA) requires that each state take steps to ensure that poor and minority children are not taught at higher rates than other children by inexperienced, unqualified or out-of-field teachers.  On June 1, 2015, MDE submitted a plan to the U.S. Department of Education </w:t>
      </w:r>
      <w:r w:rsidR="008E6152" w:rsidRPr="00B2615F">
        <w:t>that required</w:t>
      </w:r>
      <w:r w:rsidRPr="00B2615F">
        <w:t xml:space="preserve"> all states to address long-term needs for improving equitable </w:t>
      </w:r>
      <w:r w:rsidRPr="00B2615F">
        <w:lastRenderedPageBreak/>
        <w:t xml:space="preserve">access of all students to great educators. </w:t>
      </w:r>
      <w:r w:rsidR="008E6152" w:rsidRPr="00B2615F">
        <w:t xml:space="preserve"> The plan was developed with significant stakeholder input and can be found on the </w:t>
      </w:r>
      <w:hyperlink r:id="rId12" w:history="1">
        <w:r w:rsidR="008E6152" w:rsidRPr="00B2615F">
          <w:rPr>
            <w:rStyle w:val="Hyperlink"/>
          </w:rPr>
          <w:t>MDE website</w:t>
        </w:r>
      </w:hyperlink>
      <w:r w:rsidR="00A71559" w:rsidRPr="00B2615F">
        <w:t>.</w:t>
      </w:r>
    </w:p>
    <w:p w:rsidR="00CB0692" w:rsidRPr="00B2615F" w:rsidRDefault="00A71559" w:rsidP="00D325DE">
      <w:pPr>
        <w:pStyle w:val="NoSpacing"/>
      </w:pPr>
      <w:r w:rsidRPr="00B2615F">
        <w:t>From MDE’s data review, the following statewide equity gaps surfaced:</w:t>
      </w:r>
    </w:p>
    <w:p w:rsidR="00A71559" w:rsidRPr="00B2615F" w:rsidRDefault="00A71559" w:rsidP="00A71559">
      <w:pPr>
        <w:pStyle w:val="NoSpacing"/>
        <w:numPr>
          <w:ilvl w:val="0"/>
          <w:numId w:val="25"/>
        </w:numPr>
      </w:pPr>
      <w:r w:rsidRPr="00B2615F">
        <w:t xml:space="preserve">Schools in the highest poverty quartile are more likely to have inexperienced, unqualified and out-of-field teachers than schools in the lowest poverty quartile. </w:t>
      </w:r>
    </w:p>
    <w:p w:rsidR="00A71559" w:rsidRPr="00B2615F" w:rsidRDefault="00A71559" w:rsidP="00A71559">
      <w:pPr>
        <w:pStyle w:val="NoSpacing"/>
        <w:numPr>
          <w:ilvl w:val="0"/>
          <w:numId w:val="25"/>
        </w:numPr>
      </w:pPr>
      <w:r w:rsidRPr="00B2615F">
        <w:t>Schools in the highest minority quartile are more likely to have inexperienced, unqualified and out-of-field teachers than schools in the lowest minority quartile.</w:t>
      </w:r>
    </w:p>
    <w:p w:rsidR="00A71559" w:rsidRPr="00B2615F" w:rsidRDefault="00A71559" w:rsidP="00A71559">
      <w:pPr>
        <w:pStyle w:val="NoSpacing"/>
        <w:numPr>
          <w:ilvl w:val="0"/>
          <w:numId w:val="25"/>
        </w:numPr>
      </w:pPr>
      <w:r w:rsidRPr="00B2615F">
        <w:t>Priority and Focus schools are more likely to have inexperienced, unqualified and out-of-field teachers than Reward schools.</w:t>
      </w:r>
    </w:p>
    <w:p w:rsidR="00A71559" w:rsidRPr="00B2615F" w:rsidRDefault="00A71559" w:rsidP="00A71559">
      <w:pPr>
        <w:pStyle w:val="NoSpacing"/>
        <w:numPr>
          <w:ilvl w:val="0"/>
          <w:numId w:val="25"/>
        </w:numPr>
      </w:pPr>
      <w:r w:rsidRPr="00B2615F">
        <w:t>Charter schools are more likely to have inexperienced, unqualified and out-of-field teachers than non-charter schools.</w:t>
      </w:r>
    </w:p>
    <w:p w:rsidR="005F3A1A" w:rsidRPr="00B2615F" w:rsidRDefault="005F3A1A" w:rsidP="005F3A1A">
      <w:pPr>
        <w:pStyle w:val="NoSpacing"/>
        <w:ind w:left="360"/>
      </w:pPr>
    </w:p>
    <w:p w:rsidR="00DA662E" w:rsidRPr="00B2615F" w:rsidRDefault="00DA662E" w:rsidP="00B551D7">
      <w:pPr>
        <w:pStyle w:val="NoSpacing"/>
        <w:spacing w:after="360"/>
      </w:pPr>
      <w:r w:rsidRPr="00B2615F">
        <w:t xml:space="preserve">To reach the goals of the WBWF, it is important to ensure that all students, particularly students from low-income families and students of color, have equitable access to teachers and principals who can </w:t>
      </w:r>
      <w:r w:rsidR="002D3E46" w:rsidRPr="00B2615F">
        <w:t>h</w:t>
      </w:r>
      <w:r w:rsidR="00DA1EF5" w:rsidRPr="00B2615F">
        <w:t>elp them reach their</w:t>
      </w:r>
      <w:r w:rsidR="00540977" w:rsidRPr="00B2615F">
        <w:t xml:space="preserve"> potential. </w:t>
      </w:r>
      <w:r w:rsidR="005B5E27" w:rsidRPr="00B2615F">
        <w:t xml:space="preserve">Beginning with the next WBWF </w:t>
      </w:r>
      <w:r w:rsidR="00D325DE" w:rsidRPr="00B2615F">
        <w:t>summary, to be submitted in fall 2016, MDE will request information about the district process to examine the distribution of experienced and qualified teachers</w:t>
      </w:r>
      <w:r w:rsidR="00B551D7" w:rsidRPr="00B2615F">
        <w:t xml:space="preserve"> across the district and within school sites using data.</w:t>
      </w:r>
      <w:r w:rsidR="00540977" w:rsidRPr="00B2615F">
        <w:t xml:space="preserve"> </w:t>
      </w:r>
      <w:r w:rsidR="00B551D7" w:rsidRPr="00B2615F">
        <w:t xml:space="preserve"> </w:t>
      </w:r>
    </w:p>
    <w:sectPr w:rsidR="00DA662E" w:rsidRPr="00B2615F" w:rsidSect="00BC473E">
      <w:footerReference w:type="defaul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F50" w:rsidRDefault="00FD7F50" w:rsidP="00232178">
      <w:pPr>
        <w:spacing w:after="0" w:line="240" w:lineRule="auto"/>
      </w:pPr>
      <w:r>
        <w:separator/>
      </w:r>
    </w:p>
  </w:endnote>
  <w:endnote w:type="continuationSeparator" w:id="0">
    <w:p w:rsidR="00FD7F50" w:rsidRDefault="00FD7F50" w:rsidP="0023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591123"/>
      <w:docPartObj>
        <w:docPartGallery w:val="Page Numbers (Bottom of Page)"/>
        <w:docPartUnique/>
      </w:docPartObj>
    </w:sdtPr>
    <w:sdtEndPr>
      <w:rPr>
        <w:noProof/>
      </w:rPr>
    </w:sdtEndPr>
    <w:sdtContent>
      <w:p w:rsidR="00FD7F50" w:rsidRDefault="00BC041A">
        <w:pPr>
          <w:pStyle w:val="Footer"/>
          <w:jc w:val="right"/>
        </w:pPr>
        <w:fldSimple w:instr=" PAGE   \* MERGEFORMAT ">
          <w:r w:rsidR="00D34F12">
            <w:rPr>
              <w:noProof/>
            </w:rPr>
            <w:t>1</w:t>
          </w:r>
        </w:fldSimple>
      </w:p>
    </w:sdtContent>
  </w:sdt>
  <w:p w:rsidR="00FD7F50" w:rsidRDefault="00FD7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F50" w:rsidRDefault="00FD7F50" w:rsidP="00232178">
      <w:pPr>
        <w:spacing w:after="0" w:line="240" w:lineRule="auto"/>
      </w:pPr>
      <w:r>
        <w:separator/>
      </w:r>
    </w:p>
  </w:footnote>
  <w:footnote w:type="continuationSeparator" w:id="0">
    <w:p w:rsidR="00FD7F50" w:rsidRDefault="00FD7F50" w:rsidP="00232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4230FB"/>
    <w:multiLevelType w:val="hybridMultilevel"/>
    <w:tmpl w:val="8DD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04525"/>
    <w:multiLevelType w:val="hybridMultilevel"/>
    <w:tmpl w:val="DFC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32D33"/>
    <w:multiLevelType w:val="hybridMultilevel"/>
    <w:tmpl w:val="0BE6CAD0"/>
    <w:lvl w:ilvl="0" w:tplc="4440E1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168D3"/>
    <w:multiLevelType w:val="hybridMultilevel"/>
    <w:tmpl w:val="7A4E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338E0"/>
    <w:multiLevelType w:val="hybridMultilevel"/>
    <w:tmpl w:val="6598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A194D"/>
    <w:multiLevelType w:val="hybridMultilevel"/>
    <w:tmpl w:val="933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971FC"/>
    <w:multiLevelType w:val="hybridMultilevel"/>
    <w:tmpl w:val="5BFEA07C"/>
    <w:lvl w:ilvl="0" w:tplc="2DC65956">
      <w:start w:val="1"/>
      <w:numFmt w:val="bullet"/>
      <w:pStyle w:val="ListParagraph"/>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3"/>
  </w:num>
  <w:num w:numId="15">
    <w:abstractNumId w:val="18"/>
  </w:num>
  <w:num w:numId="16">
    <w:abstractNumId w:val="10"/>
  </w:num>
  <w:num w:numId="17">
    <w:abstractNumId w:val="20"/>
  </w:num>
  <w:num w:numId="18">
    <w:abstractNumId w:val="11"/>
  </w:num>
  <w:num w:numId="19">
    <w:abstractNumId w:val="12"/>
  </w:num>
  <w:num w:numId="20">
    <w:abstractNumId w:val="15"/>
  </w:num>
  <w:num w:numId="21">
    <w:abstractNumId w:val="17"/>
  </w:num>
  <w:num w:numId="22">
    <w:abstractNumId w:val="16"/>
  </w:num>
  <w:num w:numId="23">
    <w:abstractNumId w:val="22"/>
  </w:num>
  <w:num w:numId="24">
    <w:abstractNumId w:val="19"/>
  </w:num>
  <w:num w:numId="25">
    <w:abstractNumId w:val="1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D004"/>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rsids>
    <w:rsidRoot w:val="00970CEF"/>
    <w:rsid w:val="0001359D"/>
    <w:rsid w:val="000169CB"/>
    <w:rsid w:val="00041732"/>
    <w:rsid w:val="000425DA"/>
    <w:rsid w:val="00047B88"/>
    <w:rsid w:val="0005190D"/>
    <w:rsid w:val="00054C47"/>
    <w:rsid w:val="000A10C7"/>
    <w:rsid w:val="000A16BC"/>
    <w:rsid w:val="000A2290"/>
    <w:rsid w:val="000A530D"/>
    <w:rsid w:val="000E05B8"/>
    <w:rsid w:val="000F2761"/>
    <w:rsid w:val="000F2B3E"/>
    <w:rsid w:val="000F689F"/>
    <w:rsid w:val="00103EFD"/>
    <w:rsid w:val="001045D5"/>
    <w:rsid w:val="00113EEF"/>
    <w:rsid w:val="0012477A"/>
    <w:rsid w:val="00130D81"/>
    <w:rsid w:val="0013757E"/>
    <w:rsid w:val="00156242"/>
    <w:rsid w:val="0017210C"/>
    <w:rsid w:val="00175597"/>
    <w:rsid w:val="00177245"/>
    <w:rsid w:val="00183D7A"/>
    <w:rsid w:val="00192514"/>
    <w:rsid w:val="001B5405"/>
    <w:rsid w:val="002312C4"/>
    <w:rsid w:val="00232178"/>
    <w:rsid w:val="0023523F"/>
    <w:rsid w:val="00257CCB"/>
    <w:rsid w:val="00262473"/>
    <w:rsid w:val="00275870"/>
    <w:rsid w:val="00280EC8"/>
    <w:rsid w:val="00281A86"/>
    <w:rsid w:val="00293373"/>
    <w:rsid w:val="002C220F"/>
    <w:rsid w:val="002C4CA8"/>
    <w:rsid w:val="002D25CC"/>
    <w:rsid w:val="002D3E46"/>
    <w:rsid w:val="00314A4B"/>
    <w:rsid w:val="00317BA9"/>
    <w:rsid w:val="00332501"/>
    <w:rsid w:val="00345755"/>
    <w:rsid w:val="0035170F"/>
    <w:rsid w:val="00352639"/>
    <w:rsid w:val="0035680A"/>
    <w:rsid w:val="00363598"/>
    <w:rsid w:val="003839AB"/>
    <w:rsid w:val="003A1A2B"/>
    <w:rsid w:val="003A40B9"/>
    <w:rsid w:val="003C475E"/>
    <w:rsid w:val="004025C1"/>
    <w:rsid w:val="00421F4B"/>
    <w:rsid w:val="004733FC"/>
    <w:rsid w:val="0048171E"/>
    <w:rsid w:val="004A233B"/>
    <w:rsid w:val="004B3CD2"/>
    <w:rsid w:val="004E64B4"/>
    <w:rsid w:val="004F124B"/>
    <w:rsid w:val="005040A7"/>
    <w:rsid w:val="00514B77"/>
    <w:rsid w:val="00540977"/>
    <w:rsid w:val="00556E29"/>
    <w:rsid w:val="0058076D"/>
    <w:rsid w:val="005926FE"/>
    <w:rsid w:val="00593071"/>
    <w:rsid w:val="005A0336"/>
    <w:rsid w:val="005B5E27"/>
    <w:rsid w:val="005D0FB7"/>
    <w:rsid w:val="005F3A1A"/>
    <w:rsid w:val="005F4C20"/>
    <w:rsid w:val="00600189"/>
    <w:rsid w:val="0060670D"/>
    <w:rsid w:val="006115F4"/>
    <w:rsid w:val="00612EB2"/>
    <w:rsid w:val="0062783D"/>
    <w:rsid w:val="00632FFF"/>
    <w:rsid w:val="00633737"/>
    <w:rsid w:val="00651E36"/>
    <w:rsid w:val="006531C0"/>
    <w:rsid w:val="00665BFA"/>
    <w:rsid w:val="00666C24"/>
    <w:rsid w:val="00682D04"/>
    <w:rsid w:val="00696B26"/>
    <w:rsid w:val="006D206B"/>
    <w:rsid w:val="006D234D"/>
    <w:rsid w:val="006F0369"/>
    <w:rsid w:val="00713D63"/>
    <w:rsid w:val="007315A1"/>
    <w:rsid w:val="00745591"/>
    <w:rsid w:val="00781F45"/>
    <w:rsid w:val="007D3F4C"/>
    <w:rsid w:val="007E506F"/>
    <w:rsid w:val="007F068E"/>
    <w:rsid w:val="007F29BA"/>
    <w:rsid w:val="007F4273"/>
    <w:rsid w:val="007F697A"/>
    <w:rsid w:val="007F7A0C"/>
    <w:rsid w:val="00804232"/>
    <w:rsid w:val="0081034D"/>
    <w:rsid w:val="00812CE4"/>
    <w:rsid w:val="008212DF"/>
    <w:rsid w:val="008339B9"/>
    <w:rsid w:val="00834057"/>
    <w:rsid w:val="008357D6"/>
    <w:rsid w:val="0084270B"/>
    <w:rsid w:val="00845BE3"/>
    <w:rsid w:val="008706BC"/>
    <w:rsid w:val="008706C6"/>
    <w:rsid w:val="00890656"/>
    <w:rsid w:val="00895261"/>
    <w:rsid w:val="008964C0"/>
    <w:rsid w:val="00897BC8"/>
    <w:rsid w:val="008E6152"/>
    <w:rsid w:val="008E7D7B"/>
    <w:rsid w:val="009011E0"/>
    <w:rsid w:val="00935750"/>
    <w:rsid w:val="00940649"/>
    <w:rsid w:val="00954950"/>
    <w:rsid w:val="00970CEF"/>
    <w:rsid w:val="0097447D"/>
    <w:rsid w:val="00995D67"/>
    <w:rsid w:val="009A1D2A"/>
    <w:rsid w:val="009A6769"/>
    <w:rsid w:val="009D03C7"/>
    <w:rsid w:val="009D351D"/>
    <w:rsid w:val="009D5E3B"/>
    <w:rsid w:val="009E00CD"/>
    <w:rsid w:val="009F5A65"/>
    <w:rsid w:val="00A1504F"/>
    <w:rsid w:val="00A40872"/>
    <w:rsid w:val="00A44165"/>
    <w:rsid w:val="00A47D84"/>
    <w:rsid w:val="00A504E1"/>
    <w:rsid w:val="00A51265"/>
    <w:rsid w:val="00A71559"/>
    <w:rsid w:val="00A75FCD"/>
    <w:rsid w:val="00AA3856"/>
    <w:rsid w:val="00AA3C09"/>
    <w:rsid w:val="00AB0875"/>
    <w:rsid w:val="00AB0F3E"/>
    <w:rsid w:val="00AE1790"/>
    <w:rsid w:val="00AF3CE7"/>
    <w:rsid w:val="00B2615F"/>
    <w:rsid w:val="00B34B7A"/>
    <w:rsid w:val="00B446BE"/>
    <w:rsid w:val="00B45AD2"/>
    <w:rsid w:val="00B551D7"/>
    <w:rsid w:val="00B61DA7"/>
    <w:rsid w:val="00B65726"/>
    <w:rsid w:val="00B75F10"/>
    <w:rsid w:val="00B85D61"/>
    <w:rsid w:val="00B866DC"/>
    <w:rsid w:val="00BB47D7"/>
    <w:rsid w:val="00BC041A"/>
    <w:rsid w:val="00BC473E"/>
    <w:rsid w:val="00BD089B"/>
    <w:rsid w:val="00BE0DEA"/>
    <w:rsid w:val="00C03F54"/>
    <w:rsid w:val="00C27DFC"/>
    <w:rsid w:val="00C30032"/>
    <w:rsid w:val="00C41023"/>
    <w:rsid w:val="00C4261F"/>
    <w:rsid w:val="00C72BBE"/>
    <w:rsid w:val="00C8113F"/>
    <w:rsid w:val="00C839B3"/>
    <w:rsid w:val="00CA41F5"/>
    <w:rsid w:val="00CA4C7E"/>
    <w:rsid w:val="00CB0692"/>
    <w:rsid w:val="00CC6A9E"/>
    <w:rsid w:val="00CD7DCF"/>
    <w:rsid w:val="00CE0D62"/>
    <w:rsid w:val="00CF08AF"/>
    <w:rsid w:val="00D019F7"/>
    <w:rsid w:val="00D13158"/>
    <w:rsid w:val="00D325DE"/>
    <w:rsid w:val="00D34F12"/>
    <w:rsid w:val="00D72412"/>
    <w:rsid w:val="00D967E0"/>
    <w:rsid w:val="00DA1EF5"/>
    <w:rsid w:val="00DA662E"/>
    <w:rsid w:val="00DD1961"/>
    <w:rsid w:val="00E05295"/>
    <w:rsid w:val="00E11991"/>
    <w:rsid w:val="00E14ACD"/>
    <w:rsid w:val="00E162AE"/>
    <w:rsid w:val="00E26A17"/>
    <w:rsid w:val="00E30133"/>
    <w:rsid w:val="00E53E28"/>
    <w:rsid w:val="00E63529"/>
    <w:rsid w:val="00E63F01"/>
    <w:rsid w:val="00E70A23"/>
    <w:rsid w:val="00E7752E"/>
    <w:rsid w:val="00E9376A"/>
    <w:rsid w:val="00E93B6F"/>
    <w:rsid w:val="00E961A4"/>
    <w:rsid w:val="00EE2C6E"/>
    <w:rsid w:val="00EF40D0"/>
    <w:rsid w:val="00EF4D95"/>
    <w:rsid w:val="00F10186"/>
    <w:rsid w:val="00F150C2"/>
    <w:rsid w:val="00F15A75"/>
    <w:rsid w:val="00F4200C"/>
    <w:rsid w:val="00F51BE7"/>
    <w:rsid w:val="00F614A8"/>
    <w:rsid w:val="00F663C6"/>
    <w:rsid w:val="00F701CD"/>
    <w:rsid w:val="00FD4E48"/>
    <w:rsid w:val="00FD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99"/>
    <w:qFormat/>
    <w:rsid w:val="00935750"/>
    <w:pPr>
      <w:numPr>
        <w:numId w:val="23"/>
      </w:numPr>
      <w:spacing w:before="0" w:after="20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E30133"/>
    <w:rPr>
      <w:color w:val="0000FF" w:themeColor="hyperlink"/>
      <w:u w:val="single"/>
    </w:rPr>
  </w:style>
  <w:style w:type="character" w:styleId="CommentReference">
    <w:name w:val="annotation reference"/>
    <w:basedOn w:val="DefaultParagraphFont"/>
    <w:uiPriority w:val="99"/>
    <w:semiHidden/>
    <w:unhideWhenUsed/>
    <w:locked/>
    <w:rsid w:val="00AE1790"/>
    <w:rPr>
      <w:sz w:val="16"/>
      <w:szCs w:val="16"/>
    </w:rPr>
  </w:style>
  <w:style w:type="character" w:styleId="FollowedHyperlink">
    <w:name w:val="FollowedHyperlink"/>
    <w:basedOn w:val="DefaultParagraphFont"/>
    <w:uiPriority w:val="99"/>
    <w:semiHidden/>
    <w:unhideWhenUsed/>
    <w:locked/>
    <w:rsid w:val="008E6152"/>
    <w:rPr>
      <w:color w:val="800080" w:themeColor="followedHyperlink"/>
      <w:u w:val="single"/>
    </w:rPr>
  </w:style>
  <w:style w:type="table" w:styleId="TableGrid">
    <w:name w:val="Table Grid"/>
    <w:basedOn w:val="TableNormal"/>
    <w:uiPriority w:val="59"/>
    <w:locked/>
    <w:rsid w:val="00317BA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A6769"/>
    <w:pPr>
      <w:widowControl w:val="0"/>
      <w:spacing w:before="0" w:after="0" w:line="240" w:lineRule="auto"/>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state.mn.us/MDE/Welcome/AdvBCT/TeacherEquity/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skyschool.org/about-us/bluesky-board/previous-meetings/previous-meetings/2014-2015-board-meetings/2015-2016-board-meet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ueskyschool.org/about-us/bluesky-board/annual-reports/" TargetMode="External"/><Relationship Id="rId4" Type="http://schemas.openxmlformats.org/officeDocument/2006/relationships/settings" Target="settings.xml"/><Relationship Id="rId9" Type="http://schemas.openxmlformats.org/officeDocument/2006/relationships/hyperlink" Target="mailto:MDE.WorldsBestWorkForce@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DE87-5948-4E2B-90DA-9177B4E3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Worlds Best Workforce Summary Template 2015</vt:lpstr>
    </vt:vector>
  </TitlesOfParts>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Best Workforce Summary Template 2015</dc:title>
  <dc:creator/>
  <cp:lastModifiedBy/>
  <cp:revision>1</cp:revision>
  <dcterms:created xsi:type="dcterms:W3CDTF">2015-11-06T14:25:00Z</dcterms:created>
  <dcterms:modified xsi:type="dcterms:W3CDTF">2015-11-13T18:21:00Z</dcterms:modified>
</cp:coreProperties>
</file>